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4F" w:rsidRPr="005D39CB" w:rsidRDefault="007352B9">
      <w:pPr>
        <w:spacing w:before="63"/>
        <w:ind w:left="2325" w:right="3029"/>
        <w:rPr>
          <w:b/>
          <w:sz w:val="24"/>
          <w:lang w:val="en-US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42076</wp:posOffset>
            </wp:positionV>
            <wp:extent cx="1181100" cy="329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9CB">
        <w:rPr>
          <w:b/>
          <w:sz w:val="24"/>
          <w:lang w:val="en-US"/>
        </w:rPr>
        <w:t>Food Safety and Inspection Service United States Department of Agriculture Washington, D.C. 20250-3700</w:t>
      </w:r>
    </w:p>
    <w:p w:rsidR="0057264F" w:rsidRPr="005D39CB" w:rsidRDefault="0057264F">
      <w:pPr>
        <w:pStyle w:val="Tekstpodstawowy"/>
        <w:spacing w:before="7"/>
        <w:rPr>
          <w:b/>
          <w:sz w:val="22"/>
          <w:lang w:val="en-US"/>
        </w:rPr>
      </w:pPr>
    </w:p>
    <w:p w:rsidR="0057264F" w:rsidRDefault="007352B9">
      <w:pPr>
        <w:spacing w:before="93" w:line="229" w:lineRule="exact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Stycze</w:t>
      </w:r>
      <w:r>
        <w:rPr>
          <w:rFonts w:ascii="Arial"/>
          <w:b/>
          <w:sz w:val="20"/>
        </w:rPr>
        <w:t>ń</w:t>
      </w:r>
      <w:r>
        <w:rPr>
          <w:rFonts w:ascii="Arial"/>
          <w:b/>
          <w:sz w:val="20"/>
        </w:rPr>
        <w:t xml:space="preserve"> 1999r.</w:t>
      </w:r>
    </w:p>
    <w:p w:rsidR="0057264F" w:rsidRDefault="007352B9">
      <w:pPr>
        <w:spacing w:line="229" w:lineRule="exact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Zaktualizowano w lipcu 1999r.</w:t>
      </w:r>
    </w:p>
    <w:p w:rsidR="0057264F" w:rsidRDefault="0057264F">
      <w:pPr>
        <w:pStyle w:val="Tekstpodstawowy"/>
        <w:rPr>
          <w:rFonts w:ascii="Arial"/>
          <w:b/>
          <w:sz w:val="22"/>
        </w:rPr>
      </w:pPr>
    </w:p>
    <w:p w:rsidR="0057264F" w:rsidRDefault="0057264F">
      <w:pPr>
        <w:pStyle w:val="Tekstpodstawowy"/>
        <w:rPr>
          <w:rFonts w:ascii="Arial"/>
          <w:b/>
          <w:sz w:val="22"/>
        </w:rPr>
      </w:pPr>
    </w:p>
    <w:p w:rsidR="0057264F" w:rsidRDefault="0057264F">
      <w:pPr>
        <w:pStyle w:val="Tekstpodstawowy"/>
        <w:rPr>
          <w:rFonts w:ascii="Arial"/>
          <w:b/>
          <w:sz w:val="22"/>
        </w:rPr>
      </w:pPr>
    </w:p>
    <w:p w:rsidR="0057264F" w:rsidRDefault="0057264F">
      <w:pPr>
        <w:pStyle w:val="Tekstpodstawowy"/>
        <w:rPr>
          <w:rFonts w:ascii="Arial"/>
          <w:b/>
          <w:sz w:val="22"/>
        </w:rPr>
      </w:pPr>
    </w:p>
    <w:p w:rsidR="0057264F" w:rsidRDefault="0057264F">
      <w:pPr>
        <w:pStyle w:val="Tekstpodstawowy"/>
        <w:spacing w:before="4"/>
        <w:rPr>
          <w:rFonts w:ascii="Arial"/>
          <w:b/>
          <w:sz w:val="29"/>
        </w:rPr>
      </w:pPr>
    </w:p>
    <w:p w:rsidR="0057264F" w:rsidRPr="00D34EDC" w:rsidRDefault="007352B9">
      <w:pPr>
        <w:pStyle w:val="Nagwek1"/>
        <w:rPr>
          <w:sz w:val="28"/>
          <w:szCs w:val="28"/>
        </w:rPr>
      </w:pPr>
      <w:r w:rsidRPr="00D34EDC">
        <w:rPr>
          <w:color w:val="0080FF"/>
          <w:sz w:val="28"/>
          <w:szCs w:val="28"/>
        </w:rPr>
        <w:t>Załącznik A</w:t>
      </w:r>
    </w:p>
    <w:p w:rsidR="0057264F" w:rsidRPr="00D34EDC" w:rsidRDefault="007352B9">
      <w:pPr>
        <w:spacing w:before="280"/>
        <w:ind w:left="186" w:right="188"/>
        <w:jc w:val="center"/>
        <w:rPr>
          <w:b/>
          <w:sz w:val="28"/>
          <w:szCs w:val="28"/>
        </w:rPr>
      </w:pPr>
      <w:r w:rsidRPr="00D34EDC">
        <w:rPr>
          <w:b/>
          <w:sz w:val="28"/>
          <w:szCs w:val="28"/>
        </w:rPr>
        <w:t xml:space="preserve">Wytyczne </w:t>
      </w:r>
      <w:r w:rsidR="005D39CB" w:rsidRPr="00D34EDC">
        <w:rPr>
          <w:b/>
          <w:sz w:val="28"/>
          <w:szCs w:val="28"/>
        </w:rPr>
        <w:t xml:space="preserve">zgodności </w:t>
      </w:r>
      <w:r w:rsidRPr="00D34EDC">
        <w:rPr>
          <w:b/>
          <w:sz w:val="28"/>
          <w:szCs w:val="28"/>
        </w:rPr>
        <w:t xml:space="preserve">dla spełniania standardów wydajności </w:t>
      </w:r>
      <w:r w:rsidR="009610B6" w:rsidRPr="00D34EDC">
        <w:rPr>
          <w:b/>
          <w:sz w:val="28"/>
          <w:szCs w:val="28"/>
        </w:rPr>
        <w:br/>
      </w:r>
      <w:r w:rsidRPr="00D34EDC">
        <w:rPr>
          <w:b/>
          <w:sz w:val="28"/>
          <w:szCs w:val="28"/>
        </w:rPr>
        <w:t xml:space="preserve">obróbki </w:t>
      </w:r>
      <w:r w:rsidR="005D39CB" w:rsidRPr="00D34EDC">
        <w:rPr>
          <w:b/>
          <w:sz w:val="28"/>
          <w:szCs w:val="28"/>
        </w:rPr>
        <w:t>niszcz</w:t>
      </w:r>
      <w:r w:rsidR="009610B6" w:rsidRPr="00D34EDC">
        <w:rPr>
          <w:b/>
          <w:sz w:val="28"/>
          <w:szCs w:val="28"/>
        </w:rPr>
        <w:t xml:space="preserve">ącej drobnoustroje </w:t>
      </w:r>
      <w:r w:rsidR="009610B6" w:rsidRPr="00D34EDC">
        <w:rPr>
          <w:b/>
          <w:sz w:val="28"/>
          <w:szCs w:val="28"/>
        </w:rPr>
        <w:br/>
        <w:t>w odniesieni</w:t>
      </w:r>
      <w:r w:rsidR="005D39CB" w:rsidRPr="00D34EDC">
        <w:rPr>
          <w:b/>
          <w:sz w:val="28"/>
          <w:szCs w:val="28"/>
        </w:rPr>
        <w:t xml:space="preserve">u do </w:t>
      </w:r>
      <w:r w:rsidRPr="00D34EDC">
        <w:rPr>
          <w:b/>
          <w:sz w:val="28"/>
          <w:szCs w:val="28"/>
        </w:rPr>
        <w:t>pewnych produktów mięsnych i drobiowych</w:t>
      </w:r>
    </w:p>
    <w:p w:rsidR="0057264F" w:rsidRDefault="007352B9">
      <w:pPr>
        <w:pStyle w:val="Nagwek2"/>
        <w:spacing w:before="280"/>
      </w:pPr>
      <w:r>
        <w:t>Wstęp</w:t>
      </w:r>
    </w:p>
    <w:p w:rsidR="0057264F" w:rsidRDefault="0057264F">
      <w:pPr>
        <w:pStyle w:val="Tekstpodstawowy"/>
        <w:spacing w:before="10"/>
        <w:rPr>
          <w:b/>
          <w:sz w:val="23"/>
        </w:rPr>
      </w:pPr>
    </w:p>
    <w:p w:rsidR="0057264F" w:rsidRDefault="009B45A6" w:rsidP="000F4920">
      <w:pPr>
        <w:pStyle w:val="Tekstpodstawowy"/>
        <w:ind w:left="100" w:right="62"/>
        <w:jc w:val="both"/>
      </w:pPr>
      <w:r>
        <w:t xml:space="preserve">Zakłady wytwarzające gotową </w:t>
      </w:r>
      <w:r w:rsidR="007352B9">
        <w:t>do spożycia pieczon</w:t>
      </w:r>
      <w:r>
        <w:t>ą wołowinę</w:t>
      </w:r>
      <w:r w:rsidR="007352B9">
        <w:t>, gotowan</w:t>
      </w:r>
      <w:r>
        <w:t xml:space="preserve">ą wołowinę </w:t>
      </w:r>
      <w:r w:rsidR="00B92BBA">
        <w:t xml:space="preserve">i </w:t>
      </w:r>
      <w:r>
        <w:t>peklowane produkty</w:t>
      </w:r>
      <w:r w:rsidR="007352B9">
        <w:t xml:space="preserve"> wołow</w:t>
      </w:r>
      <w:r>
        <w:t>e</w:t>
      </w:r>
      <w:r w:rsidR="007352B9">
        <w:t xml:space="preserve"> oraz pewne gotowe do spożycia produkty drobiowe muszą, zgodnie z wymaganiami FSIS osiągać standardy wydajności obróbki </w:t>
      </w:r>
      <w:r>
        <w:t xml:space="preserve">niszczącej drobnoustroje </w:t>
      </w:r>
      <w:r w:rsidR="007352B9">
        <w:t xml:space="preserve">dla obniżenia </w:t>
      </w:r>
      <w:r>
        <w:rPr>
          <w:u w:val="single"/>
        </w:rPr>
        <w:t>Salmonella</w:t>
      </w:r>
      <w:r w:rsidR="007352B9">
        <w:t xml:space="preserve">, ujęte w §§ 318.17(a)(1) i 381.150(a)(1) </w:t>
      </w:r>
      <w:r w:rsidR="00C017E9">
        <w:t xml:space="preserve">regulacji </w:t>
      </w:r>
      <w:r>
        <w:t xml:space="preserve">w zakresie </w:t>
      </w:r>
      <w:r w:rsidR="007352B9">
        <w:t>kontrol</w:t>
      </w:r>
      <w:r>
        <w:t>i</w:t>
      </w:r>
      <w:r w:rsidR="007352B9">
        <w:t xml:space="preserve"> mięsa i </w:t>
      </w:r>
      <w:r w:rsidR="00B92BBA">
        <w:t>mięsa drobiowego</w:t>
      </w:r>
      <w:r w:rsidR="007352B9">
        <w:t>. Ponadto, FSIS wymaga od zakładów przetwarzających mięso i drób, jeśli nie dział</w:t>
      </w:r>
      <w:r w:rsidR="00C017E9">
        <w:t>ają w ramach planu HACCP, aby wy</w:t>
      </w:r>
      <w:r w:rsidR="007352B9">
        <w:t xml:space="preserve">kazały w jaki sposób ich procesy osiągają standardy wydajności obróbki </w:t>
      </w:r>
      <w:r w:rsidR="00C017E9">
        <w:t xml:space="preserve">niszczącej drobnoustroje </w:t>
      </w:r>
      <w:r w:rsidR="007352B9">
        <w:t xml:space="preserve">w ramach pisemnego </w:t>
      </w:r>
      <w:r w:rsidR="00C017E9">
        <w:t xml:space="preserve">harmonogramu </w:t>
      </w:r>
      <w:r w:rsidR="007352B9">
        <w:t xml:space="preserve">procesu ocenionego pod kątem skuteczności przez organ </w:t>
      </w:r>
      <w:r w:rsidR="00C017E9">
        <w:t xml:space="preserve">ds. przetwarzania </w:t>
      </w:r>
      <w:r w:rsidR="007352B9">
        <w:t>(§§ 318.17(2)(b) i (c) oraz 381.150 (2)(c) i (d)).</w:t>
      </w:r>
    </w:p>
    <w:p w:rsidR="0057264F" w:rsidRDefault="0057264F" w:rsidP="000F4920">
      <w:pPr>
        <w:pStyle w:val="Tekstpodstawowy"/>
        <w:spacing w:before="5"/>
        <w:ind w:right="62"/>
      </w:pPr>
    </w:p>
    <w:p w:rsidR="0057264F" w:rsidRDefault="007352B9" w:rsidP="000F4920">
      <w:pPr>
        <w:pStyle w:val="Tekstpodstawowy"/>
        <w:ind w:left="100" w:right="62"/>
        <w:jc w:val="both"/>
      </w:pPr>
      <w:r>
        <w:t xml:space="preserve">Aby pomóc zakładom w </w:t>
      </w:r>
      <w:r w:rsidR="00C017E9">
        <w:t xml:space="preserve">spełnieniu </w:t>
      </w:r>
      <w:r>
        <w:t>wymagań</w:t>
      </w:r>
      <w:r w:rsidR="00C017E9">
        <w:t xml:space="preserve"> w zakresie niszczenia drobnoustrojów</w:t>
      </w:r>
      <w:r>
        <w:t xml:space="preserve">, FSIS opublikował niniejsze wytyczne, które są oparte na wymaganiach dla czasu/temperatury zawartych we wcześniejszych przepisach. Zakłady mogą zdecydować się na wykorzystanie niniejszych wytycznych jako własnych </w:t>
      </w:r>
      <w:r w:rsidR="00C017E9">
        <w:t>harmonogramów procesu</w:t>
      </w:r>
      <w:r>
        <w:t>. FSIS uznaje niniejsze wytyczne, w przypadku ich ścisłego przestrzegania, za zatwierdzone</w:t>
      </w:r>
      <w:r w:rsidR="00C017E9">
        <w:t xml:space="preserve"> harmonogramy procesu</w:t>
      </w:r>
      <w:r>
        <w:t xml:space="preserve">, ponieważ zawierają </w:t>
      </w:r>
      <w:r w:rsidR="00C017E9">
        <w:t xml:space="preserve">one </w:t>
      </w:r>
      <w:r>
        <w:t>metody przetwarzania już zaakceptowane przez Agencję jako skuteczne.</w:t>
      </w:r>
    </w:p>
    <w:p w:rsidR="0057264F" w:rsidRDefault="0057264F" w:rsidP="000F4920">
      <w:pPr>
        <w:pStyle w:val="Tekstpodstawowy"/>
        <w:spacing w:before="4"/>
        <w:ind w:right="62"/>
        <w:jc w:val="both"/>
      </w:pPr>
    </w:p>
    <w:p w:rsidR="0057264F" w:rsidRDefault="007352B9" w:rsidP="000F4920">
      <w:pPr>
        <w:pStyle w:val="Tekstpodstawowy"/>
        <w:ind w:left="100" w:right="62"/>
        <w:jc w:val="both"/>
      </w:pPr>
      <w:r>
        <w:t xml:space="preserve">Ponadto, w ramach tych wytycznych FSIS przedstawił omówienie dotyczące </w:t>
      </w:r>
      <w:r w:rsidR="00C017E9">
        <w:t xml:space="preserve">dyspozycji </w:t>
      </w:r>
      <w:r>
        <w:t>produktów po od</w:t>
      </w:r>
      <w:r w:rsidR="00677462">
        <w:t>chyleniach</w:t>
      </w:r>
      <w:r>
        <w:t xml:space="preserve"> </w:t>
      </w:r>
      <w:r w:rsidR="00677462">
        <w:t xml:space="preserve">podczas </w:t>
      </w:r>
      <w:r>
        <w:t>proces</w:t>
      </w:r>
      <w:r w:rsidR="00677462">
        <w:t>u</w:t>
      </w:r>
      <w:r>
        <w:t xml:space="preserve"> podgrzewania oraz porady dotyczące rozwoju indywidualnych procesów dla osiągnięcia standardów wydajności</w:t>
      </w:r>
      <w:r w:rsidR="00C017E9">
        <w:t xml:space="preserve"> w zakresie niszczenia drobnoustrojów</w:t>
      </w:r>
      <w:r>
        <w:t>.</w:t>
      </w:r>
    </w:p>
    <w:p w:rsidR="0057264F" w:rsidRDefault="0057264F" w:rsidP="009610B6">
      <w:pPr>
        <w:jc w:val="both"/>
        <w:rPr>
          <w:sz w:val="24"/>
        </w:rPr>
        <w:sectPr w:rsidR="0057264F">
          <w:footerReference w:type="default" r:id="rId8"/>
          <w:type w:val="continuous"/>
          <w:pgSz w:w="12240" w:h="15840"/>
          <w:pgMar w:top="1160" w:right="1340" w:bottom="280" w:left="1340" w:header="708" w:footer="708" w:gutter="0"/>
          <w:cols w:space="708"/>
        </w:sectPr>
      </w:pPr>
    </w:p>
    <w:p w:rsidR="0057264F" w:rsidRPr="0037754F" w:rsidRDefault="007352B9" w:rsidP="009610B6">
      <w:pPr>
        <w:pStyle w:val="Nagwek2"/>
        <w:jc w:val="both"/>
      </w:pPr>
      <w:r w:rsidRPr="0037754F">
        <w:lastRenderedPageBreak/>
        <w:t>Wytyczne dla gotowanej wołowiny, pieczonej wołowiny, oraz gotowanej peklowanej wołowiny</w:t>
      </w:r>
      <w:r w:rsidRPr="0037754F">
        <w:tab/>
      </w:r>
    </w:p>
    <w:p w:rsidR="0057264F" w:rsidRPr="009976EF" w:rsidRDefault="0057264F">
      <w:pPr>
        <w:pStyle w:val="Tekstpodstawowy"/>
        <w:spacing w:before="1"/>
        <w:rPr>
          <w:b/>
          <w:sz w:val="22"/>
        </w:rPr>
      </w:pPr>
    </w:p>
    <w:p w:rsidR="0057264F" w:rsidRPr="009976EF" w:rsidRDefault="007352B9" w:rsidP="000F4920">
      <w:pPr>
        <w:pStyle w:val="Akapitzlist"/>
        <w:numPr>
          <w:ilvl w:val="0"/>
          <w:numId w:val="2"/>
        </w:numPr>
        <w:tabs>
          <w:tab w:val="left" w:pos="341"/>
        </w:tabs>
        <w:ind w:right="2" w:firstLine="0"/>
        <w:jc w:val="both"/>
      </w:pPr>
      <w:r w:rsidRPr="009976EF">
        <w:t xml:space="preserve">Gotowana i pieczona wołowina, w tym pocięte i </w:t>
      </w:r>
      <w:r w:rsidR="00FB5A70" w:rsidRPr="009976EF">
        <w:t>u</w:t>
      </w:r>
      <w:r w:rsidRPr="009976EF">
        <w:t xml:space="preserve">formowane </w:t>
      </w:r>
      <w:r w:rsidR="00FB5A70" w:rsidRPr="009976EF">
        <w:t xml:space="preserve">dania </w:t>
      </w:r>
      <w:r w:rsidRPr="009976EF">
        <w:t>piecz</w:t>
      </w:r>
      <w:r w:rsidR="00FB5A70" w:rsidRPr="009976EF">
        <w:t>one</w:t>
      </w:r>
      <w:r w:rsidRPr="009976EF">
        <w:t xml:space="preserve">, pokrojone i </w:t>
      </w:r>
      <w:r w:rsidR="00FB5A70" w:rsidRPr="009976EF">
        <w:t>u</w:t>
      </w:r>
      <w:r w:rsidRPr="009976EF">
        <w:t xml:space="preserve">formowane </w:t>
      </w:r>
      <w:r w:rsidR="00FB5A70" w:rsidRPr="009976EF">
        <w:t xml:space="preserve">dania </w:t>
      </w:r>
      <w:r w:rsidRPr="009976EF">
        <w:t>piecz</w:t>
      </w:r>
      <w:r w:rsidR="00FB5A70" w:rsidRPr="009976EF">
        <w:t>one</w:t>
      </w:r>
      <w:r w:rsidRPr="009976EF">
        <w:t xml:space="preserve"> oraz ugotowana peklowana wołowina mogą zostać przygotowane przy użyciu jednej z poniższych kombinacji czasu i temperatury aby osiągnąć albo 6,5-log</w:t>
      </w:r>
      <w:r w:rsidRPr="009976EF">
        <w:rPr>
          <w:vertAlign w:val="subscript"/>
        </w:rPr>
        <w:t>10</w:t>
      </w:r>
      <w:r w:rsidRPr="009976EF">
        <w:t xml:space="preserve"> lub 7-log</w:t>
      </w:r>
      <w:r w:rsidRPr="009976EF">
        <w:rPr>
          <w:vertAlign w:val="subscript"/>
        </w:rPr>
        <w:t>10</w:t>
      </w:r>
      <w:r w:rsidR="00FB5A70" w:rsidRPr="009976EF">
        <w:t xml:space="preserve"> redukcji</w:t>
      </w:r>
      <w:r w:rsidRPr="009976EF">
        <w:t xml:space="preserve"> </w:t>
      </w:r>
      <w:r w:rsidR="00FB5A70" w:rsidRPr="009976EF">
        <w:rPr>
          <w:u w:val="single"/>
        </w:rPr>
        <w:t>Salmonella</w:t>
      </w:r>
      <w:r w:rsidRPr="009976EF">
        <w:t xml:space="preserve">. Podana temperatura to minimum, które musi zostać osiągnięte oraz utrzymane we wszystkich częściach </w:t>
      </w:r>
      <w:r w:rsidR="00FB5A70" w:rsidRPr="009976EF">
        <w:t xml:space="preserve">każdego kawałka </w:t>
      </w:r>
      <w:r w:rsidRPr="009976EF">
        <w:t>mięsa przynajmniej przez podany czas:</w:t>
      </w:r>
    </w:p>
    <w:p w:rsidR="003A2A6E" w:rsidRDefault="003A2A6E" w:rsidP="00FB5A70">
      <w:pPr>
        <w:pStyle w:val="Tekstpodstawowy"/>
        <w:spacing w:before="1"/>
        <w:jc w:val="right"/>
        <w:rPr>
          <w:rFonts w:ascii="Courier New"/>
          <w:sz w:val="20"/>
        </w:rPr>
      </w:pPr>
    </w:p>
    <w:p w:rsidR="003A2A6E" w:rsidRDefault="00FB5A70" w:rsidP="003A2A6E">
      <w:pPr>
        <w:pStyle w:val="Tekstpodstawowy"/>
        <w:spacing w:before="1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Minimalna temperatura wewn</w:t>
      </w:r>
      <w:r>
        <w:rPr>
          <w:rFonts w:ascii="Courier New"/>
          <w:sz w:val="20"/>
        </w:rPr>
        <w:t>ę</w:t>
      </w:r>
      <w:r>
        <w:rPr>
          <w:rFonts w:ascii="Courier New"/>
          <w:sz w:val="20"/>
        </w:rPr>
        <w:t xml:space="preserve">trzna         Minimalny czas przetwarzania </w:t>
      </w:r>
    </w:p>
    <w:p w:rsidR="003A2A6E" w:rsidRDefault="003A2A6E" w:rsidP="003A2A6E">
      <w:pPr>
        <w:pStyle w:val="Tekstpodstawowy"/>
        <w:spacing w:before="1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 xml:space="preserve">                                           </w:t>
      </w:r>
      <w:r w:rsidR="00FB5A70">
        <w:rPr>
          <w:rFonts w:ascii="Courier New"/>
          <w:sz w:val="20"/>
        </w:rPr>
        <w:t>w minutach lub sekundach</w:t>
      </w:r>
      <w:r>
        <w:rPr>
          <w:rFonts w:ascii="Courier New"/>
          <w:sz w:val="20"/>
        </w:rPr>
        <w:t xml:space="preserve"> po </w:t>
      </w:r>
    </w:p>
    <w:p w:rsidR="00FB5A70" w:rsidRDefault="003A2A6E" w:rsidP="00FB5A70">
      <w:pPr>
        <w:pStyle w:val="Tekstpodstawowy"/>
        <w:spacing w:before="1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t>osi</w:t>
      </w:r>
      <w:r>
        <w:rPr>
          <w:rFonts w:ascii="Courier New"/>
          <w:sz w:val="20"/>
        </w:rPr>
        <w:t>ą</w:t>
      </w:r>
      <w:r>
        <w:rPr>
          <w:rFonts w:ascii="Courier New"/>
          <w:sz w:val="20"/>
        </w:rPr>
        <w:t>gnieciu minimalnej temperatury</w:t>
      </w:r>
    </w:p>
    <w:p w:rsidR="00FB5A70" w:rsidRDefault="00FB5A70">
      <w:pPr>
        <w:pStyle w:val="Tekstpodstawowy"/>
        <w:spacing w:before="1"/>
        <w:rPr>
          <w:rFonts w:ascii="Courier New"/>
          <w:sz w:val="20"/>
        </w:rPr>
      </w:pPr>
    </w:p>
    <w:p w:rsidR="00FB5A70" w:rsidRDefault="00FB5A70">
      <w:pPr>
        <w:pStyle w:val="Tekstpodstawowy"/>
        <w:spacing w:before="1"/>
        <w:rPr>
          <w:rFonts w:ascii="Courier New"/>
          <w:sz w:val="20"/>
        </w:rPr>
      </w:pPr>
    </w:p>
    <w:tbl>
      <w:tblPr>
        <w:tblStyle w:val="TableNormal"/>
        <w:tblW w:w="0" w:type="auto"/>
        <w:tblInd w:w="1010" w:type="dxa"/>
        <w:tblLayout w:type="fixed"/>
        <w:tblLook w:val="01E0" w:firstRow="1" w:lastRow="1" w:firstColumn="1" w:lastColumn="1" w:noHBand="0" w:noVBand="0"/>
      </w:tblPr>
      <w:tblGrid>
        <w:gridCol w:w="1550"/>
        <w:gridCol w:w="2543"/>
        <w:gridCol w:w="661"/>
        <w:gridCol w:w="1201"/>
        <w:gridCol w:w="781"/>
        <w:gridCol w:w="891"/>
      </w:tblGrid>
      <w:tr w:rsidR="0057264F" w:rsidTr="003A2A6E">
        <w:trPr>
          <w:trHeight w:val="565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Stopnie w skali Fahrenheita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40" w:lineRule="auto"/>
              <w:ind w:left="299" w:right="220"/>
              <w:rPr>
                <w:sz w:val="20"/>
              </w:rPr>
            </w:pPr>
            <w:r>
              <w:rPr>
                <w:sz w:val="20"/>
              </w:rPr>
              <w:t>Stopnie w skali Celsjusza</w:t>
            </w:r>
          </w:p>
        </w:tc>
        <w:tc>
          <w:tcPr>
            <w:tcW w:w="1862" w:type="dxa"/>
            <w:gridSpan w:val="2"/>
          </w:tcPr>
          <w:p w:rsidR="0057264F" w:rsidRDefault="007352B9" w:rsidP="003A2A6E">
            <w:pPr>
              <w:pStyle w:val="TableParagraph"/>
              <w:spacing w:line="240" w:lineRule="auto"/>
              <w:ind w:left="239" w:right="522"/>
              <w:rPr>
                <w:sz w:val="20"/>
              </w:rPr>
            </w:pPr>
            <w:r>
              <w:rPr>
                <w:sz w:val="20"/>
              </w:rPr>
              <w:t xml:space="preserve">Obróbka </w:t>
            </w:r>
            <w:r w:rsidR="003A2A6E">
              <w:rPr>
                <w:sz w:val="20"/>
              </w:rPr>
              <w:t xml:space="preserve">niszcząca drobnoustroje </w:t>
            </w:r>
            <w:r>
              <w:rPr>
                <w:sz w:val="20"/>
              </w:rPr>
              <w:t>6.5-log</w:t>
            </w:r>
            <w:r>
              <w:rPr>
                <w:sz w:val="20"/>
                <w:vertAlign w:val="subscript"/>
              </w:rPr>
              <w:t>10</w:t>
            </w:r>
          </w:p>
        </w:tc>
        <w:tc>
          <w:tcPr>
            <w:tcW w:w="1672" w:type="dxa"/>
            <w:gridSpan w:val="2"/>
          </w:tcPr>
          <w:p w:rsidR="0057264F" w:rsidRDefault="007352B9" w:rsidP="003A2A6E">
            <w:pPr>
              <w:pStyle w:val="TableParagraph"/>
              <w:spacing w:line="240" w:lineRule="auto"/>
              <w:ind w:left="417" w:right="154" w:firstLine="35"/>
              <w:rPr>
                <w:sz w:val="20"/>
              </w:rPr>
            </w:pPr>
            <w:r>
              <w:rPr>
                <w:sz w:val="20"/>
              </w:rPr>
              <w:t xml:space="preserve">Obróbka </w:t>
            </w:r>
            <w:r w:rsidR="003A2A6E">
              <w:rPr>
                <w:sz w:val="20"/>
              </w:rPr>
              <w:t xml:space="preserve">niszcząca drobnoustroje </w:t>
            </w:r>
            <w:r>
              <w:rPr>
                <w:sz w:val="20"/>
              </w:rPr>
              <w:t>7-log</w:t>
            </w:r>
            <w:r>
              <w:rPr>
                <w:sz w:val="20"/>
                <w:vertAlign w:val="subscript"/>
              </w:rPr>
              <w:t>10</w:t>
            </w:r>
          </w:p>
        </w:tc>
      </w:tr>
      <w:tr w:rsidR="0057264F" w:rsidTr="003A2A6E">
        <w:trPr>
          <w:trHeight w:val="341"/>
        </w:trPr>
        <w:tc>
          <w:tcPr>
            <w:tcW w:w="1550" w:type="dxa"/>
          </w:tcPr>
          <w:p w:rsidR="0057264F" w:rsidRDefault="007352B9">
            <w:pPr>
              <w:pStyle w:val="TableParagraph"/>
              <w:spacing w:before="113" w:line="208" w:lineRule="exact"/>
              <w:ind w:left="170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before="113" w:line="208" w:lineRule="exact"/>
              <w:ind w:left="419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before="113" w:line="20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before="113" w:line="208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before="113" w:line="208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before="113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7"/>
        </w:trPr>
        <w:tc>
          <w:tcPr>
            <w:tcW w:w="1550" w:type="dxa"/>
          </w:tcPr>
          <w:p w:rsidR="0057264F" w:rsidRDefault="007352B9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before="1"/>
              <w:ind w:left="419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</w:tr>
      <w:tr w:rsidR="0057264F" w:rsidTr="003A2A6E">
        <w:trPr>
          <w:trHeight w:val="227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min.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781" w:type="dxa"/>
          </w:tcPr>
          <w:p w:rsidR="0057264F" w:rsidRDefault="0057264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-3" w:right="51"/>
              <w:jc w:val="right"/>
              <w:rPr>
                <w:sz w:val="20"/>
              </w:rPr>
            </w:pPr>
            <w:r>
              <w:rPr>
                <w:sz w:val="20"/>
              </w:rPr>
              <w:t>4 min.</w:t>
            </w:r>
            <w:r>
              <w:rPr>
                <w:color w:val="FF0000"/>
                <w:sz w:val="20"/>
              </w:rPr>
              <w:t>*</w:t>
            </w:r>
          </w:p>
        </w:tc>
      </w:tr>
      <w:tr w:rsidR="0057264F" w:rsidTr="003A2A6E">
        <w:trPr>
          <w:trHeight w:val="227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66,1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69,4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sek.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spacing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spacing w:line="20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spacing w:line="207" w:lineRule="exact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  <w:r>
              <w:rPr>
                <w:color w:val="008080"/>
                <w:sz w:val="20"/>
              </w:rPr>
              <w:t>**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spacing w:line="207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spacing w:line="207" w:lineRule="exact"/>
              <w:ind w:left="-3" w:right="52"/>
              <w:jc w:val="right"/>
              <w:rPr>
                <w:sz w:val="20"/>
              </w:rPr>
            </w:pPr>
            <w:r>
              <w:rPr>
                <w:sz w:val="20"/>
              </w:rPr>
              <w:t>sek.</w:t>
            </w:r>
            <w:r>
              <w:rPr>
                <w:color w:val="008080"/>
                <w:sz w:val="20"/>
              </w:rPr>
              <w:t>**</w:t>
            </w:r>
          </w:p>
        </w:tc>
      </w:tr>
      <w:tr w:rsidR="0057264F" w:rsidTr="003A2A6E">
        <w:trPr>
          <w:trHeight w:val="226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sek.</w:t>
            </w:r>
            <w:r>
              <w:rPr>
                <w:color w:val="008080"/>
                <w:sz w:val="20"/>
              </w:rPr>
              <w:t>**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-3" w:right="52"/>
              <w:jc w:val="right"/>
              <w:rPr>
                <w:sz w:val="20"/>
              </w:rPr>
            </w:pPr>
            <w:r>
              <w:rPr>
                <w:sz w:val="20"/>
              </w:rPr>
              <w:t>sek.</w:t>
            </w:r>
            <w:r>
              <w:rPr>
                <w:color w:val="008080"/>
                <w:sz w:val="20"/>
              </w:rPr>
              <w:t>**</w:t>
            </w:r>
          </w:p>
        </w:tc>
      </w:tr>
      <w:tr w:rsidR="0057264F" w:rsidTr="003A2A6E">
        <w:trPr>
          <w:trHeight w:val="225"/>
        </w:trPr>
        <w:tc>
          <w:tcPr>
            <w:tcW w:w="1550" w:type="dxa"/>
          </w:tcPr>
          <w:p w:rsidR="0057264F" w:rsidRDefault="007352B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543" w:type="dxa"/>
          </w:tcPr>
          <w:p w:rsidR="0057264F" w:rsidRDefault="007352B9"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t>71,1</w:t>
            </w:r>
          </w:p>
        </w:tc>
        <w:tc>
          <w:tcPr>
            <w:tcW w:w="661" w:type="dxa"/>
          </w:tcPr>
          <w:p w:rsidR="0057264F" w:rsidRDefault="007352B9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1" w:type="dxa"/>
          </w:tcPr>
          <w:p w:rsidR="0057264F" w:rsidRDefault="007352B9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sek.</w:t>
            </w:r>
            <w:r>
              <w:rPr>
                <w:color w:val="008080"/>
                <w:sz w:val="20"/>
              </w:rPr>
              <w:t>**</w:t>
            </w:r>
          </w:p>
        </w:tc>
        <w:tc>
          <w:tcPr>
            <w:tcW w:w="781" w:type="dxa"/>
          </w:tcPr>
          <w:p w:rsidR="0057264F" w:rsidRDefault="007352B9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1" w:type="dxa"/>
          </w:tcPr>
          <w:p w:rsidR="0057264F" w:rsidRDefault="007352B9">
            <w:pPr>
              <w:pStyle w:val="TableParagraph"/>
              <w:ind w:left="-3" w:right="52"/>
              <w:jc w:val="right"/>
              <w:rPr>
                <w:sz w:val="20"/>
              </w:rPr>
            </w:pPr>
            <w:r>
              <w:rPr>
                <w:sz w:val="20"/>
              </w:rPr>
              <w:t>sek.</w:t>
            </w:r>
            <w:r>
              <w:rPr>
                <w:color w:val="008080"/>
                <w:sz w:val="20"/>
              </w:rPr>
              <w:t>**</w:t>
            </w:r>
          </w:p>
        </w:tc>
      </w:tr>
    </w:tbl>
    <w:p w:rsidR="0057264F" w:rsidRDefault="0057264F">
      <w:pPr>
        <w:pStyle w:val="Tekstpodstawowy"/>
        <w:spacing w:before="10"/>
        <w:rPr>
          <w:rFonts w:ascii="Courier New"/>
          <w:sz w:val="23"/>
        </w:rPr>
      </w:pPr>
    </w:p>
    <w:p w:rsidR="0057264F" w:rsidRPr="009976EF" w:rsidRDefault="007352B9" w:rsidP="003A2A6E">
      <w:pPr>
        <w:ind w:left="100" w:right="13"/>
        <w:jc w:val="both"/>
        <w:rPr>
          <w:rFonts w:ascii="Arial" w:hAnsi="Arial"/>
          <w:sz w:val="16"/>
        </w:rPr>
      </w:pPr>
      <w:r w:rsidRPr="009976EF">
        <w:rPr>
          <w:color w:val="FF0000"/>
          <w:sz w:val="20"/>
        </w:rPr>
        <w:t xml:space="preserve">* </w:t>
      </w:r>
      <w:r w:rsidRPr="009976EF">
        <w:rPr>
          <w:color w:val="000000"/>
          <w:sz w:val="16"/>
        </w:rPr>
        <w:t xml:space="preserve">Wcześniejsze przepisy wymieniały minimalny czas przetwarzania dla pieczonej wołowiny gotowanej w 145°F jako „natychmiastowy." Jednakże, z uwagi na ich znaczny rozmiar, większość tych pieczeni pozostała w temperaturze 145°F, lub nawet wyższej przez przynajmniej 4 minuty po osiągnięciu minimalnej temperatury wewnętrznej. FSIS dokonał rewizji tej tabeli czasu/temperatury, aby odzwierciedlała ten fakt oraz podkreśla, że, aby pewniej zagwarantować zgodność ze standardem wydajności, zakłady powinny zapewnić, że czas </w:t>
      </w:r>
      <w:r w:rsidR="003A2A6E" w:rsidRPr="009976EF">
        <w:rPr>
          <w:color w:val="000000"/>
          <w:sz w:val="16"/>
        </w:rPr>
        <w:t xml:space="preserve">oczekiwania </w:t>
      </w:r>
      <w:r w:rsidRPr="009976EF">
        <w:rPr>
          <w:color w:val="000000"/>
          <w:sz w:val="16"/>
        </w:rPr>
        <w:t>wynosi przynajmniej 4 minuty jeśli</w:t>
      </w:r>
      <w:r w:rsidR="003A2A6E" w:rsidRPr="009976EF">
        <w:rPr>
          <w:color w:val="000000"/>
          <w:sz w:val="16"/>
        </w:rPr>
        <w:t xml:space="preserve"> zastosowana jest</w:t>
      </w:r>
      <w:r w:rsidRPr="009976EF">
        <w:rPr>
          <w:color w:val="000000"/>
          <w:sz w:val="16"/>
        </w:rPr>
        <w:t xml:space="preserve"> minimalna temperatura wewnętrzna</w:t>
      </w:r>
      <w:r w:rsidR="003A2A6E" w:rsidRPr="009976EF">
        <w:rPr>
          <w:color w:val="000000"/>
          <w:sz w:val="16"/>
        </w:rPr>
        <w:t xml:space="preserve"> 145°F</w:t>
      </w:r>
      <w:r w:rsidRPr="009976EF">
        <w:rPr>
          <w:color w:val="000000"/>
          <w:sz w:val="16"/>
        </w:rPr>
        <w:t>.</w:t>
      </w:r>
    </w:p>
    <w:p w:rsidR="0057264F" w:rsidRPr="009976EF" w:rsidRDefault="007352B9">
      <w:pPr>
        <w:spacing w:line="244" w:lineRule="auto"/>
        <w:ind w:left="100"/>
        <w:rPr>
          <w:rFonts w:ascii="Arial" w:hAnsi="Arial"/>
          <w:sz w:val="16"/>
          <w:szCs w:val="20"/>
        </w:rPr>
      </w:pPr>
      <w:r w:rsidRPr="009976EF">
        <w:rPr>
          <w:sz w:val="18"/>
        </w:rPr>
        <w:t xml:space="preserve">** </w:t>
      </w:r>
      <w:r w:rsidR="003A2A6E" w:rsidRPr="009976EF">
        <w:rPr>
          <w:sz w:val="16"/>
          <w:szCs w:val="20"/>
        </w:rPr>
        <w:t>Wymagane zniszczenie drobnoustrojów</w:t>
      </w:r>
      <w:r w:rsidRPr="009976EF">
        <w:rPr>
          <w:sz w:val="16"/>
          <w:szCs w:val="20"/>
        </w:rPr>
        <w:t xml:space="preserve"> </w:t>
      </w:r>
      <w:r w:rsidR="003A2A6E" w:rsidRPr="009976EF">
        <w:rPr>
          <w:sz w:val="16"/>
          <w:szCs w:val="20"/>
        </w:rPr>
        <w:t xml:space="preserve">jest </w:t>
      </w:r>
      <w:r w:rsidRPr="009976EF">
        <w:rPr>
          <w:sz w:val="16"/>
          <w:szCs w:val="20"/>
        </w:rPr>
        <w:t>osiągane niezwłocznie, gdy temperatura wewnętrzna gotowanego produktu mięsnego osiągnie temperaturę 158⁰ F lub wyższą.</w:t>
      </w:r>
    </w:p>
    <w:p w:rsidR="0057264F" w:rsidRDefault="007352B9" w:rsidP="000F4920">
      <w:pPr>
        <w:pStyle w:val="Akapitzlist"/>
        <w:numPr>
          <w:ilvl w:val="0"/>
          <w:numId w:val="2"/>
        </w:numPr>
        <w:tabs>
          <w:tab w:val="left" w:pos="341"/>
        </w:tabs>
        <w:spacing w:before="64"/>
        <w:ind w:right="62" w:firstLine="0"/>
        <w:jc w:val="both"/>
        <w:rPr>
          <w:sz w:val="24"/>
        </w:rPr>
      </w:pPr>
      <w:r>
        <w:rPr>
          <w:sz w:val="24"/>
        </w:rPr>
        <w:lastRenderedPageBreak/>
        <w:t>Gotowana wołowina</w:t>
      </w:r>
      <w:r w:rsidR="003A2A6E">
        <w:rPr>
          <w:sz w:val="24"/>
        </w:rPr>
        <w:t>,</w:t>
      </w:r>
      <w:r>
        <w:rPr>
          <w:sz w:val="24"/>
        </w:rPr>
        <w:t xml:space="preserve"> w tym cięte i </w:t>
      </w:r>
      <w:r w:rsidR="003A2A6E">
        <w:rPr>
          <w:sz w:val="24"/>
        </w:rPr>
        <w:t>u</w:t>
      </w:r>
      <w:r>
        <w:rPr>
          <w:sz w:val="24"/>
        </w:rPr>
        <w:t xml:space="preserve">formowane </w:t>
      </w:r>
      <w:r w:rsidR="003A2A6E">
        <w:rPr>
          <w:sz w:val="24"/>
        </w:rPr>
        <w:t xml:space="preserve">dania pieczone </w:t>
      </w:r>
      <w:r>
        <w:rPr>
          <w:sz w:val="24"/>
        </w:rPr>
        <w:t xml:space="preserve">oraz krojone i </w:t>
      </w:r>
      <w:r w:rsidR="003A2A6E">
        <w:rPr>
          <w:sz w:val="24"/>
        </w:rPr>
        <w:t>u</w:t>
      </w:r>
      <w:r>
        <w:rPr>
          <w:sz w:val="24"/>
        </w:rPr>
        <w:t xml:space="preserve">formowane </w:t>
      </w:r>
      <w:r w:rsidR="003A2A6E">
        <w:rPr>
          <w:sz w:val="24"/>
        </w:rPr>
        <w:t xml:space="preserve">dania pieczone, </w:t>
      </w:r>
      <w:r>
        <w:rPr>
          <w:sz w:val="24"/>
        </w:rPr>
        <w:t>a także got</w:t>
      </w:r>
      <w:r w:rsidR="003A2A6E">
        <w:rPr>
          <w:sz w:val="24"/>
        </w:rPr>
        <w:t>owana peklowana wołowina powinny być gotowane</w:t>
      </w:r>
      <w:r>
        <w:rPr>
          <w:sz w:val="24"/>
        </w:rPr>
        <w:t xml:space="preserve"> z zachowaniem wilgotności przez cały proces, lub w przypadku pieczonej wołowiny lub peklowanej wołowiny przeznaczonej do pieczenia, gotowa</w:t>
      </w:r>
      <w:r w:rsidR="003A2A6E">
        <w:rPr>
          <w:sz w:val="24"/>
        </w:rPr>
        <w:t>nie</w:t>
      </w:r>
      <w:r>
        <w:rPr>
          <w:sz w:val="24"/>
        </w:rPr>
        <w:t>, jak w akapicie (3) niniejszych wytycznych. Gotowanie z zachowaniem wilgotności może być osiągnięte poprzez umieszczenie mięsa w zamkniętej, nie przepuszczającej wilgoci tor</w:t>
      </w:r>
      <w:r w:rsidR="003A2A6E">
        <w:rPr>
          <w:sz w:val="24"/>
        </w:rPr>
        <w:t>ebce</w:t>
      </w:r>
      <w:r>
        <w:rPr>
          <w:sz w:val="24"/>
        </w:rPr>
        <w:t>, usunięcie nadmiaru powietrza oraz gotowanie; poprzez całkowite zanurzenie mięsa nie zapakowanego w wodzie przez cały proces gotowania;</w:t>
      </w:r>
      <w:r w:rsidR="009610B6">
        <w:rPr>
          <w:sz w:val="24"/>
        </w:rPr>
        <w:t xml:space="preserve"> </w:t>
      </w:r>
      <w:r>
        <w:rPr>
          <w:sz w:val="24"/>
        </w:rPr>
        <w:t>lub stosując zamknięty pie</w:t>
      </w:r>
      <w:r w:rsidR="00F7764C">
        <w:rPr>
          <w:sz w:val="24"/>
        </w:rPr>
        <w:t xml:space="preserve">c </w:t>
      </w:r>
      <w:r>
        <w:rPr>
          <w:sz w:val="24"/>
        </w:rPr>
        <w:t>lub wyrzut pary aby podnieść względną wilgotność powyżej 90 procent przez cały proces gotowania.</w:t>
      </w:r>
    </w:p>
    <w:p w:rsidR="0057264F" w:rsidRDefault="0057264F">
      <w:pPr>
        <w:pStyle w:val="Tekstpodstawowy"/>
        <w:spacing w:before="4"/>
      </w:pPr>
    </w:p>
    <w:p w:rsidR="0057264F" w:rsidRDefault="007352B9" w:rsidP="009610B6">
      <w:pPr>
        <w:pStyle w:val="Akapitzlist"/>
        <w:numPr>
          <w:ilvl w:val="0"/>
          <w:numId w:val="2"/>
        </w:numPr>
        <w:tabs>
          <w:tab w:val="left" w:pos="341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Pieczona wołowina lub peklowana wołowina przeznaczona do pieczenia mogą być gotowane stosując jedną z poniższych metod:</w:t>
      </w:r>
    </w:p>
    <w:p w:rsidR="0057264F" w:rsidRDefault="0057264F" w:rsidP="009610B6">
      <w:pPr>
        <w:pStyle w:val="Tekstpodstawowy"/>
        <w:spacing w:before="4"/>
        <w:jc w:val="both"/>
        <w:rPr>
          <w:sz w:val="16"/>
        </w:rPr>
      </w:pPr>
    </w:p>
    <w:p w:rsidR="0057264F" w:rsidRDefault="007352B9" w:rsidP="009610B6">
      <w:pPr>
        <w:pStyle w:val="Tekstpodstawowy"/>
        <w:spacing w:before="90"/>
        <w:ind w:left="426" w:hanging="284"/>
        <w:jc w:val="both"/>
      </w:pPr>
      <w:r>
        <w:rPr>
          <w:noProof/>
          <w:lang w:eastAsia="pl-PL"/>
        </w:rPr>
        <w:drawing>
          <wp:inline distT="0" distB="0" distL="0" distR="0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0B6">
        <w:rPr>
          <w:sz w:val="20"/>
        </w:rPr>
        <w:t xml:space="preserve"> </w:t>
      </w:r>
      <w:r>
        <w:t xml:space="preserve">Podgrzanie pieczeni ważących 10 funtów lub więcej w </w:t>
      </w:r>
      <w:proofErr w:type="spellStart"/>
      <w:r>
        <w:t>pie</w:t>
      </w:r>
      <w:r w:rsidR="00F7764C">
        <w:t>cy</w:t>
      </w:r>
      <w:proofErr w:type="spellEnd"/>
      <w:r>
        <w:t xml:space="preserve"> utrzymywanym w temperaturze 250 °F (121 °C) lub wyższej przez cały proces osiągając jedną z powyższych (1) kombinacji czasu/temperatury;</w:t>
      </w:r>
    </w:p>
    <w:p w:rsidR="0057264F" w:rsidRDefault="0057264F" w:rsidP="009610B6">
      <w:pPr>
        <w:pStyle w:val="Tekstpodstawowy"/>
        <w:spacing w:before="6"/>
        <w:ind w:left="426" w:hanging="284"/>
        <w:jc w:val="both"/>
        <w:rPr>
          <w:sz w:val="16"/>
        </w:rPr>
      </w:pPr>
    </w:p>
    <w:p w:rsidR="0057264F" w:rsidRDefault="007352B9" w:rsidP="009610B6">
      <w:pPr>
        <w:pStyle w:val="Tekstpodstawowy"/>
        <w:spacing w:before="90"/>
        <w:ind w:left="426" w:right="104" w:hanging="284"/>
        <w:jc w:val="both"/>
      </w:pPr>
      <w:r>
        <w:rPr>
          <w:noProof/>
          <w:lang w:eastAsia="pl-PL"/>
        </w:rPr>
        <w:drawing>
          <wp:inline distT="0" distB="0" distL="0" distR="0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54F">
        <w:rPr>
          <w:sz w:val="20"/>
        </w:rPr>
        <w:t xml:space="preserve"> </w:t>
      </w:r>
      <w:r>
        <w:t>Podgrzewanie pieczeni w dowolnym rozmiarze do temperatury wewnętrznej wynoszącej minimum 145 °F (62,8 °C) w pie</w:t>
      </w:r>
      <w:r w:rsidR="00F7764C">
        <w:t>cu</w:t>
      </w:r>
      <w:r>
        <w:t xml:space="preserve"> utrzymywanym w dowolnej temperaturze, jeśli względna wilgotność pie</w:t>
      </w:r>
      <w:r w:rsidR="00F7764C">
        <w:t xml:space="preserve">ca </w:t>
      </w:r>
      <w:r>
        <w:t>jest utrzymywana przez nieprzerwany wyrzut pary przez połowę czasu gotowania lub przez zastosowanie zamkniętego pie</w:t>
      </w:r>
      <w:r w:rsidR="00F7764C">
        <w:t>ca</w:t>
      </w:r>
      <w:r>
        <w:t xml:space="preserve"> przez ponad połowę czasu gotowania lub jeśli względna wilgotność w pie</w:t>
      </w:r>
      <w:r w:rsidR="00F7764C">
        <w:t>cu</w:t>
      </w:r>
      <w:r>
        <w:t xml:space="preserve"> jest utrzymywana na poziomie 90 procent lub wyższym  przez przynajmniej 25 procent całkowitego czasu gotowania, ale nie krócej niż przez godzinę; lub</w:t>
      </w:r>
    </w:p>
    <w:p w:rsidR="0057264F" w:rsidRDefault="0057264F" w:rsidP="009610B6">
      <w:pPr>
        <w:pStyle w:val="Tekstpodstawowy"/>
        <w:spacing w:before="6"/>
        <w:ind w:left="426" w:hanging="284"/>
        <w:jc w:val="both"/>
        <w:rPr>
          <w:sz w:val="16"/>
        </w:rPr>
      </w:pPr>
    </w:p>
    <w:p w:rsidR="0057264F" w:rsidRDefault="007352B9" w:rsidP="009610B6">
      <w:pPr>
        <w:pStyle w:val="Tekstpodstawowy"/>
        <w:spacing w:before="90"/>
        <w:ind w:left="426" w:right="116" w:hanging="284"/>
        <w:jc w:val="both"/>
      </w:pPr>
      <w:r>
        <w:rPr>
          <w:noProof/>
          <w:lang w:eastAsia="pl-PL"/>
        </w:rPr>
        <w:drawing>
          <wp:inline distT="0" distB="0" distL="0" distR="0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54F">
        <w:rPr>
          <w:sz w:val="20"/>
        </w:rPr>
        <w:t xml:space="preserve"> </w:t>
      </w:r>
      <w:r>
        <w:t>Podgrzewanie pieczeni dowolnych rozmiarów w pie</w:t>
      </w:r>
      <w:r w:rsidR="00F7764C">
        <w:t>cu</w:t>
      </w:r>
      <w:r>
        <w:t xml:space="preserve"> utrzymywanym w dowolnej temperaturze, która osiągnie kombinacje czasu i temperatury z powyższej tabeli w niniejszych wytycznych, jeśli względna wilgotność w pie</w:t>
      </w:r>
      <w:r w:rsidR="00F7764C">
        <w:t>cu</w:t>
      </w:r>
      <w:r>
        <w:t xml:space="preserve"> jest utrzymywana na poziomie 90 procent lub wyższym przez przynajmniej 25 procent całkowitego czasu pieczenia, ale nie krócej niż przez 1 godzinę. Względną wilgotność można osiągnąć stosując wyrzut pary lub zamknięty pie</w:t>
      </w:r>
      <w:r w:rsidR="00F7764C">
        <w:t>c</w:t>
      </w:r>
      <w:r>
        <w:t xml:space="preserve"> zdolny do wytwarzania i utrzymywania wymaganej względnej wilgotności.</w:t>
      </w:r>
    </w:p>
    <w:p w:rsidR="0057264F" w:rsidRDefault="0057264F">
      <w:pPr>
        <w:pStyle w:val="Tekstpodstawowy"/>
        <w:spacing w:before="6"/>
        <w:rPr>
          <w:sz w:val="16"/>
        </w:rPr>
      </w:pPr>
    </w:p>
    <w:p w:rsidR="0057264F" w:rsidRDefault="007352B9" w:rsidP="009610B6">
      <w:pPr>
        <w:pStyle w:val="Akapitzlist"/>
        <w:numPr>
          <w:ilvl w:val="0"/>
          <w:numId w:val="2"/>
        </w:numPr>
        <w:tabs>
          <w:tab w:val="left" w:pos="341"/>
        </w:tabs>
        <w:spacing w:before="90"/>
        <w:ind w:right="290" w:firstLine="0"/>
        <w:jc w:val="both"/>
        <w:rPr>
          <w:sz w:val="24"/>
        </w:rPr>
      </w:pPr>
      <w:r>
        <w:rPr>
          <w:sz w:val="24"/>
        </w:rPr>
        <w:t>Zakłady wytwarza</w:t>
      </w:r>
      <w:r w:rsidR="00F7764C">
        <w:rPr>
          <w:sz w:val="24"/>
        </w:rPr>
        <w:t xml:space="preserve">jące gotowaną wołowinę, pieczoną wołowinę </w:t>
      </w:r>
      <w:r>
        <w:rPr>
          <w:sz w:val="24"/>
        </w:rPr>
        <w:t>lub gotowaną peklowaną wołowinę powinny posiadać wystarczający sprzęt monitorujący, w tym urządzenia rejestrujące, aby zapewnić, że zachowano limity czasu (z dokładnością do 1 minuty), temperatury (z dokładnością do 1 °F), oraz względnej wilgotności (z dokładnością do 5 procent) w tych procesach. Dane z urządzeń rejestrujących powinny zostać udostępnione pracownikom programu FSIS na żądanie.</w:t>
      </w:r>
    </w:p>
    <w:p w:rsidR="0057264F" w:rsidRDefault="0057264F">
      <w:pPr>
        <w:pStyle w:val="Tekstpodstawowy"/>
        <w:spacing w:before="7"/>
      </w:pPr>
    </w:p>
    <w:p w:rsidR="0057264F" w:rsidRDefault="007352B9" w:rsidP="009610B6">
      <w:pPr>
        <w:pStyle w:val="Nagwek2"/>
        <w:spacing w:before="0"/>
        <w:jc w:val="both"/>
      </w:pPr>
      <w:r>
        <w:t>Wytyczne dla gotowanych roladek drobiowych oraz innych gotowanych produktów drobiowych</w:t>
      </w:r>
    </w:p>
    <w:p w:rsidR="0057264F" w:rsidRDefault="0057264F" w:rsidP="009610B6">
      <w:pPr>
        <w:pStyle w:val="Tekstpodstawowy"/>
        <w:jc w:val="both"/>
        <w:rPr>
          <w:b/>
        </w:rPr>
      </w:pPr>
    </w:p>
    <w:p w:rsidR="0057264F" w:rsidRDefault="007352B9" w:rsidP="009610B6">
      <w:pPr>
        <w:pStyle w:val="Akapitzlist"/>
        <w:numPr>
          <w:ilvl w:val="0"/>
          <w:numId w:val="1"/>
        </w:numPr>
        <w:tabs>
          <w:tab w:val="left" w:pos="341"/>
        </w:tabs>
        <w:ind w:right="122" w:firstLine="0"/>
        <w:jc w:val="both"/>
        <w:rPr>
          <w:sz w:val="24"/>
        </w:rPr>
      </w:pPr>
      <w:r w:rsidRPr="00677462">
        <w:rPr>
          <w:sz w:val="24"/>
        </w:rPr>
        <w:t>Gotowane roladki drobiowe</w:t>
      </w:r>
      <w:r>
        <w:rPr>
          <w:sz w:val="24"/>
        </w:rPr>
        <w:t xml:space="preserve"> oraz inne gotowane produkty drobiowe powinny osiągać wewnętrzną temperaturę wynosząca przynajmniej 160 °F przed </w:t>
      </w:r>
      <w:r w:rsidR="004A1AFB">
        <w:rPr>
          <w:sz w:val="24"/>
        </w:rPr>
        <w:t xml:space="preserve">usunięciem </w:t>
      </w:r>
      <w:r>
        <w:rPr>
          <w:sz w:val="24"/>
        </w:rPr>
        <w:t xml:space="preserve">z </w:t>
      </w:r>
      <w:r w:rsidR="004A1AFB">
        <w:rPr>
          <w:sz w:val="24"/>
        </w:rPr>
        <w:t xml:space="preserve">czynnika </w:t>
      </w:r>
      <w:r>
        <w:rPr>
          <w:sz w:val="24"/>
        </w:rPr>
        <w:t>g</w:t>
      </w:r>
      <w:r w:rsidR="004A1AFB">
        <w:rPr>
          <w:sz w:val="24"/>
        </w:rPr>
        <w:t>rzewczego</w:t>
      </w:r>
      <w:r>
        <w:rPr>
          <w:sz w:val="24"/>
        </w:rPr>
        <w:t>, za wyjątkiem peklowanych i wędzonych roladek drobiowych oraz inn</w:t>
      </w:r>
      <w:r w:rsidR="004A1AFB">
        <w:rPr>
          <w:sz w:val="24"/>
        </w:rPr>
        <w:t xml:space="preserve">ego </w:t>
      </w:r>
      <w:r>
        <w:rPr>
          <w:sz w:val="24"/>
        </w:rPr>
        <w:t>peklowanego i wędzonego drobiu, który powinien osiągać temperaturę wewnętrzną minimum 155 °F</w:t>
      </w:r>
      <w:r w:rsidR="004A1AFB" w:rsidRPr="004A1AFB">
        <w:rPr>
          <w:sz w:val="24"/>
        </w:rPr>
        <w:t xml:space="preserve"> </w:t>
      </w:r>
      <w:r w:rsidR="004A1AFB">
        <w:rPr>
          <w:sz w:val="24"/>
        </w:rPr>
        <w:t>przed usunięciem z czynnika grzewczego</w:t>
      </w:r>
      <w:r>
        <w:rPr>
          <w:sz w:val="24"/>
        </w:rPr>
        <w:t xml:space="preserve">. Produkt ugotowany gotowy do spożycia, który jest podgrzewany przypadkowo w stosunku do późniejszej procedury przetwarzania może zostać </w:t>
      </w:r>
      <w:r w:rsidR="00677462">
        <w:rPr>
          <w:sz w:val="24"/>
        </w:rPr>
        <w:lastRenderedPageBreak/>
        <w:t xml:space="preserve">usunięty z czynnika grzewczego </w:t>
      </w:r>
      <w:r>
        <w:rPr>
          <w:sz w:val="24"/>
        </w:rPr>
        <w:t>dla takieg</w:t>
      </w:r>
      <w:r w:rsidR="009610B6">
        <w:rPr>
          <w:sz w:val="24"/>
        </w:rPr>
        <w:t xml:space="preserve">o przetwarzania pod warunkiem, że </w:t>
      </w:r>
      <w:r>
        <w:rPr>
          <w:sz w:val="24"/>
        </w:rPr>
        <w:t>jest niezwłocznie całkowicie ugotowany do temperatury wewnętrznej wynoszącej przynajmniej 160 °F.</w:t>
      </w:r>
    </w:p>
    <w:p w:rsidR="0057264F" w:rsidRDefault="0057264F" w:rsidP="009610B6">
      <w:pPr>
        <w:pStyle w:val="Tekstpodstawowy"/>
        <w:spacing w:before="2"/>
        <w:jc w:val="both"/>
      </w:pPr>
    </w:p>
    <w:p w:rsidR="00AC7572" w:rsidRPr="00AC7572" w:rsidRDefault="007352B9" w:rsidP="0054099F">
      <w:pPr>
        <w:pStyle w:val="Akapitzlist"/>
        <w:numPr>
          <w:ilvl w:val="0"/>
          <w:numId w:val="1"/>
        </w:numPr>
        <w:tabs>
          <w:tab w:val="left" w:pos="341"/>
        </w:tabs>
        <w:ind w:right="175" w:firstLine="0"/>
        <w:jc w:val="both"/>
      </w:pPr>
      <w:r w:rsidRPr="00AC7572">
        <w:rPr>
          <w:sz w:val="24"/>
        </w:rPr>
        <w:t>Zakłady wytwarzające gotowane roladki drobiowe oraz inne gotowane produkty drobiowe powinny posiadać wystarczający sprzęt monitorujący, w tym urządzenia rejestrujące, aby zapewnić, że procesy te zach</w:t>
      </w:r>
      <w:bookmarkStart w:id="0" w:name="_GoBack"/>
      <w:bookmarkEnd w:id="0"/>
      <w:r w:rsidRPr="00AC7572">
        <w:rPr>
          <w:sz w:val="24"/>
        </w:rPr>
        <w:t>owały limity temperatury (z dokładnością do 1 °F). Dane z urządzeń rejestrujących powinny zostać udostępnione pracownikom programu FSIS na żądanie.</w:t>
      </w:r>
    </w:p>
    <w:p w:rsidR="00AC7572" w:rsidRDefault="00AC7572" w:rsidP="00AC7572">
      <w:pPr>
        <w:pStyle w:val="Akapitzlist"/>
      </w:pPr>
    </w:p>
    <w:p w:rsidR="0057264F" w:rsidRPr="006710AF" w:rsidRDefault="007352B9" w:rsidP="00AC7572">
      <w:pPr>
        <w:tabs>
          <w:tab w:val="left" w:pos="341"/>
        </w:tabs>
        <w:ind w:right="175"/>
        <w:jc w:val="both"/>
        <w:rPr>
          <w:b/>
          <w:sz w:val="28"/>
          <w:szCs w:val="28"/>
        </w:rPr>
      </w:pPr>
      <w:r w:rsidRPr="006710AF">
        <w:rPr>
          <w:b/>
          <w:sz w:val="28"/>
          <w:szCs w:val="28"/>
        </w:rPr>
        <w:t>Omówienie</w:t>
      </w:r>
    </w:p>
    <w:p w:rsidR="0057264F" w:rsidRDefault="0057264F">
      <w:pPr>
        <w:pStyle w:val="Tekstpodstawowy"/>
        <w:spacing w:before="8"/>
        <w:rPr>
          <w:b/>
        </w:rPr>
      </w:pPr>
    </w:p>
    <w:p w:rsidR="0057264F" w:rsidRDefault="007352B9">
      <w:pPr>
        <w:pStyle w:val="Nagwek3"/>
      </w:pPr>
      <w:r>
        <w:t xml:space="preserve">Odchylenia </w:t>
      </w:r>
      <w:r w:rsidR="00677462">
        <w:t xml:space="preserve">podczas </w:t>
      </w:r>
      <w:r>
        <w:t>podgrzewania i powolny czas wzrostu temperatury</w:t>
      </w:r>
    </w:p>
    <w:p w:rsidR="0057264F" w:rsidRDefault="0057264F">
      <w:pPr>
        <w:pStyle w:val="Tekstpodstawowy"/>
        <w:spacing w:before="6"/>
        <w:rPr>
          <w:b/>
          <w:sz w:val="23"/>
        </w:rPr>
      </w:pPr>
    </w:p>
    <w:p w:rsidR="0057264F" w:rsidRDefault="007352B9" w:rsidP="009610B6">
      <w:pPr>
        <w:pStyle w:val="Tekstpodstawowy"/>
        <w:ind w:left="100" w:right="89"/>
        <w:jc w:val="both"/>
      </w:pPr>
      <w:r>
        <w:t xml:space="preserve">Ustalenie odpowiedniego postępowania z produktami po odchyleniach </w:t>
      </w:r>
      <w:r w:rsidR="00677462">
        <w:t xml:space="preserve">podczas </w:t>
      </w:r>
      <w:r>
        <w:t>podgrzewania może być znacznie trudniejsze niż ustalenie postępowania z produktem po od</w:t>
      </w:r>
      <w:r w:rsidR="00677462">
        <w:t>chyleniach</w:t>
      </w:r>
      <w:r>
        <w:t xml:space="preserve"> od chłodzenia. Odchylenia </w:t>
      </w:r>
      <w:r w:rsidR="00677462">
        <w:t xml:space="preserve">podczas </w:t>
      </w:r>
      <w:r>
        <w:t>podgrzewania, z których większość dotyczy powolnego czasu wzrostu temperatury lub zbyt długiego czasu pozostawania w optymalnym zakresie temperatury dla rozwoju drobnoustrojów, mogą ułatwiać namnażanie się patogenów. Namnażanie się może być czasami tak spektakularne, że nawet ponowne ugotowanie może okazać się nieskuteczne</w:t>
      </w:r>
      <w:r w:rsidR="000F4920">
        <w:t>,</w:t>
      </w:r>
      <w:r>
        <w:t xml:space="preserve"> aby zapewnić bezpieczeństwo produktu. Dodatkowo, pewne bakterie toksykogenne mogą generować toksyny w produkcie. Niektóre z tych toksyn, jak na przykład te wytwarzane przez </w:t>
      </w:r>
      <w:r>
        <w:rPr>
          <w:u w:val="single"/>
        </w:rPr>
        <w:t xml:space="preserve">Staphylococcus </w:t>
      </w:r>
      <w:proofErr w:type="spellStart"/>
      <w:r>
        <w:rPr>
          <w:u w:val="single"/>
        </w:rPr>
        <w:t>aureus</w:t>
      </w:r>
      <w:proofErr w:type="spellEnd"/>
      <w:r>
        <w:rPr>
          <w:i/>
        </w:rPr>
        <w:t xml:space="preserve">, </w:t>
      </w:r>
      <w:r>
        <w:t>są niezwykle stabilne w wysokiej temperaturze i nie ulegają dezaktywacji w zwykłych temperaturach ponownego gotowania.</w:t>
      </w:r>
    </w:p>
    <w:p w:rsidR="0057264F" w:rsidRDefault="0057264F" w:rsidP="009610B6">
      <w:pPr>
        <w:pStyle w:val="Tekstpodstawowy"/>
        <w:spacing w:before="4"/>
        <w:jc w:val="both"/>
      </w:pPr>
    </w:p>
    <w:p w:rsidR="0057264F" w:rsidRDefault="007352B9" w:rsidP="009610B6">
      <w:pPr>
        <w:pStyle w:val="Tekstpodstawowy"/>
        <w:ind w:left="100"/>
        <w:jc w:val="both"/>
      </w:pPr>
      <w:r>
        <w:t xml:space="preserve">Ponadto, pobieranie próbek produktów po odchyleniach </w:t>
      </w:r>
      <w:r w:rsidR="000F4920">
        <w:t xml:space="preserve">w procesie </w:t>
      </w:r>
      <w:r>
        <w:t xml:space="preserve">podgrzewania może nie dostarczyć wystarczających informacji do ustalenia bezpieczeństwa przedmiotowego produktu. Odchylenia </w:t>
      </w:r>
      <w:r w:rsidR="000F4920">
        <w:t xml:space="preserve">podczas </w:t>
      </w:r>
      <w:r>
        <w:t>podgrzewania mogą ułatwiać namnażanie się wielu rodzajów bakterii. Pobranie pr</w:t>
      </w:r>
      <w:r w:rsidR="000F4920">
        <w:t>óbek dla wszystkich było by kosztowne i trudne.</w:t>
      </w:r>
    </w:p>
    <w:p w:rsidR="0057264F" w:rsidRDefault="0057264F" w:rsidP="009610B6">
      <w:pPr>
        <w:pStyle w:val="Tekstpodstawowy"/>
        <w:spacing w:before="2"/>
        <w:jc w:val="both"/>
      </w:pPr>
    </w:p>
    <w:p w:rsidR="0057264F" w:rsidRDefault="007352B9" w:rsidP="009610B6">
      <w:pPr>
        <w:pStyle w:val="Tekstpodstawowy"/>
        <w:ind w:left="100" w:right="126"/>
        <w:jc w:val="both"/>
      </w:pPr>
      <w:r>
        <w:t xml:space="preserve">W zależności od okoliczności, zakłady mogą chcieć zastosować modelowanie komputerowe w celu oszacowania względnego namnażania się bakterii. Przykładowo, we wcześniejszych przypadkach obejmujących znaczne odchylenia </w:t>
      </w:r>
      <w:r w:rsidR="000F4920">
        <w:t xml:space="preserve">podczas </w:t>
      </w:r>
      <w:r>
        <w:t>podgrzewania, produkt umieszczono w pie</w:t>
      </w:r>
      <w:r w:rsidR="000F4920">
        <w:t>cu</w:t>
      </w:r>
      <w:r>
        <w:t xml:space="preserve">, gdzie temperatura została przypadkowo ustawiona na 95°F przez około 12 godzin. W tym przypadku łatwo zastosowano modelowanie komputerowe, gdyż większość czasu </w:t>
      </w:r>
      <w:r w:rsidR="00775EDC">
        <w:t xml:space="preserve">produkt przebywał </w:t>
      </w:r>
      <w:r>
        <w:t xml:space="preserve">w jednej temperaturze. Agencja ustaliła, że w ciągu 6 godzin (przy założeniu innych odpowiednich warunków rozwoju), względne namnażanie się wielu przedmiotowych patogenów mogłoby przekroczyć pięć </w:t>
      </w:r>
      <w:proofErr w:type="spellStart"/>
      <w:r>
        <w:t>logs</w:t>
      </w:r>
      <w:proofErr w:type="spellEnd"/>
      <w:r>
        <w:t xml:space="preserve">. Oczywiście, produktu nie udało się uratować poprzez ponowne przetworzenie i został </w:t>
      </w:r>
      <w:r w:rsidR="00775EDC">
        <w:t xml:space="preserve">on </w:t>
      </w:r>
      <w:r>
        <w:t>tym samym zniszczony.</w:t>
      </w:r>
    </w:p>
    <w:p w:rsidR="0057264F" w:rsidRDefault="0057264F" w:rsidP="009610B6">
      <w:pPr>
        <w:pStyle w:val="Tekstpodstawowy"/>
        <w:spacing w:before="5"/>
        <w:jc w:val="both"/>
      </w:pPr>
    </w:p>
    <w:p w:rsidR="0057264F" w:rsidRDefault="007352B9" w:rsidP="009610B6">
      <w:pPr>
        <w:pStyle w:val="Tekstpodstawowy"/>
        <w:ind w:left="100" w:right="126"/>
        <w:jc w:val="both"/>
      </w:pPr>
      <w:r>
        <w:t>Jednakże w zmiennych warunkach temperatury, modelowanie komputerowe może okazać się znacznie trudniejsze. Jednym podejściem jest uśrednienie czasów lag/log w krótkich przedziałach jak 5° oraz dodanie tych czasów w celu otrzymania przybliżenia możliwego całkowitego rozwoju w większym przedziale czasu. Zakłady muszą pamiętać, że populacja bakterii p</w:t>
      </w:r>
      <w:r w:rsidR="00775EDC">
        <w:t>rzed przetwarzaniem jest na ogół</w:t>
      </w:r>
      <w:r>
        <w:t xml:space="preserve"> nieznana oraz, że jako parametry wejściowe do modelowania często stosuje się założenia w wysokich przedziałach.</w:t>
      </w:r>
    </w:p>
    <w:p w:rsidR="0057264F" w:rsidRDefault="0057264F" w:rsidP="009610B6">
      <w:pPr>
        <w:pStyle w:val="Tekstpodstawowy"/>
        <w:spacing w:before="2"/>
        <w:jc w:val="both"/>
      </w:pPr>
    </w:p>
    <w:p w:rsidR="009610B6" w:rsidRDefault="007352B9" w:rsidP="00AC7572">
      <w:pPr>
        <w:pStyle w:val="Tekstpodstawowy"/>
        <w:ind w:left="100" w:right="209"/>
        <w:jc w:val="both"/>
      </w:pPr>
      <w:r>
        <w:t xml:space="preserve">Zakłady powinny ostatecznie polegać na ekspertyzie organu </w:t>
      </w:r>
      <w:r w:rsidR="00775EDC">
        <w:t xml:space="preserve">ds. przetwarzania </w:t>
      </w:r>
      <w:r>
        <w:t xml:space="preserve">w celu ustalenia powagi odchylenia od podgrzewania oraz późniejszych odpowiednich działań dotyczących przedmiotowego produktu. Czasy </w:t>
      </w:r>
      <w:r w:rsidR="00775EDC">
        <w:t xml:space="preserve">przebywania </w:t>
      </w:r>
      <w:r>
        <w:t xml:space="preserve">dłuższe niż 6 godzin w temperaturze </w:t>
      </w:r>
      <w:r>
        <w:lastRenderedPageBreak/>
        <w:t>wynoszącej od 50°F do 130°F powinny być postrzegane jako szczególnie niebezpieczne, gdyż ten przedział temperatur może ułatwiać znaczny rozwój wielu przedmiotowych patogenów. Oraz kluczowa jest wiedza na temat konkretnych produktów i czynników, które mogłyby ułatwiać lub zapobiegać rozwojowi różnych bakterii.</w:t>
      </w:r>
    </w:p>
    <w:p w:rsidR="00AC7572" w:rsidRDefault="00AC7572" w:rsidP="0037754F">
      <w:pPr>
        <w:pStyle w:val="Tekstpodstawowy"/>
        <w:ind w:right="209"/>
        <w:jc w:val="both"/>
      </w:pPr>
    </w:p>
    <w:p w:rsidR="0057264F" w:rsidRDefault="007352B9">
      <w:pPr>
        <w:pStyle w:val="Nagwek3"/>
      </w:pPr>
      <w:r>
        <w:t>Dostępność programu modelowania komputerowego</w:t>
      </w:r>
    </w:p>
    <w:p w:rsidR="0057264F" w:rsidRDefault="0057264F">
      <w:pPr>
        <w:pStyle w:val="Tekstpodstawowy"/>
        <w:spacing w:before="6"/>
        <w:rPr>
          <w:b/>
          <w:sz w:val="23"/>
        </w:rPr>
      </w:pPr>
    </w:p>
    <w:p w:rsidR="0057264F" w:rsidRDefault="007352B9" w:rsidP="009610B6">
      <w:pPr>
        <w:pStyle w:val="Tekstpodstawowy"/>
        <w:ind w:left="100"/>
        <w:jc w:val="both"/>
      </w:pPr>
      <w:proofErr w:type="spellStart"/>
      <w:r>
        <w:t>Microbial</w:t>
      </w:r>
      <w:proofErr w:type="spellEnd"/>
      <w:r>
        <w:t xml:space="preserve"> Food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Unit z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Center, USDA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Service, opracowało program modelowania patogenów drobnoustrojowych. Nazwany „</w:t>
      </w:r>
      <w:proofErr w:type="spellStart"/>
      <w:r>
        <w:t>Pathogen</w:t>
      </w:r>
      <w:proofErr w:type="spellEnd"/>
      <w:r>
        <w:t xml:space="preserve"> Modeling Program-Version 5.1 for Windows,” jest dostępny w </w:t>
      </w:r>
      <w:proofErr w:type="spellStart"/>
      <w:r>
        <w:t>internecie</w:t>
      </w:r>
      <w:proofErr w:type="spellEnd"/>
      <w:r>
        <w:t xml:space="preserve"> na stronie </w:t>
      </w:r>
      <w:hyperlink r:id="rId10">
        <w:r>
          <w:rPr>
            <w:color w:val="000000"/>
          </w:rPr>
          <w:t>http://www.arserrc.gov.</w:t>
        </w:r>
      </w:hyperlink>
      <w:r>
        <w:rPr>
          <w:color w:val="000000"/>
        </w:rPr>
        <w:t xml:space="preserve"> Inne programy mogą być dostępne komercyjnie.</w:t>
      </w:r>
    </w:p>
    <w:p w:rsidR="009976EF" w:rsidRDefault="009976EF">
      <w:pPr>
        <w:pStyle w:val="Nagwek3"/>
        <w:spacing w:before="71"/>
      </w:pPr>
    </w:p>
    <w:p w:rsidR="0057264F" w:rsidRDefault="007352B9">
      <w:pPr>
        <w:pStyle w:val="Nagwek3"/>
        <w:spacing w:before="71"/>
      </w:pPr>
      <w:r>
        <w:t>Procesy indywidualne</w:t>
      </w:r>
    </w:p>
    <w:p w:rsidR="0057264F" w:rsidRDefault="0057264F">
      <w:pPr>
        <w:pStyle w:val="Tekstpodstawowy"/>
        <w:spacing w:before="6"/>
        <w:rPr>
          <w:b/>
          <w:sz w:val="23"/>
        </w:rPr>
      </w:pPr>
    </w:p>
    <w:p w:rsidR="0057264F" w:rsidRDefault="007352B9" w:rsidP="009610B6">
      <w:pPr>
        <w:pStyle w:val="Tekstpodstawowy"/>
        <w:spacing w:before="1"/>
        <w:ind w:left="100" w:right="221"/>
        <w:jc w:val="both"/>
      </w:pPr>
      <w:r>
        <w:t xml:space="preserve">Chociaż zgodność z tymi wytycznymi </w:t>
      </w:r>
      <w:r w:rsidR="00775EDC">
        <w:t xml:space="preserve">skutkuje </w:t>
      </w:r>
      <w:r>
        <w:t>produktem, który spełnia standardy wydajności obróbki</w:t>
      </w:r>
      <w:r w:rsidR="00775EDC">
        <w:t xml:space="preserve"> niszczącej drobnoustroje</w:t>
      </w:r>
      <w:r>
        <w:t>, niektóre zakłady mogą chcieć opracować indywidualne procedury przetwarzania, które spełniają skodyfikowane standardy wydajności obróbki</w:t>
      </w:r>
      <w:r w:rsidR="00775EDC">
        <w:t xml:space="preserve"> niszczącej drobnoustroje</w:t>
      </w:r>
      <w:r>
        <w:t>: 6.5</w:t>
      </w:r>
      <w:r>
        <w:rPr>
          <w:vertAlign w:val="subscript"/>
        </w:rPr>
        <w:t>10</w:t>
      </w:r>
      <w:r>
        <w:t xml:space="preserve"> log </w:t>
      </w:r>
      <w:r>
        <w:rPr>
          <w:u w:val="single"/>
        </w:rPr>
        <w:t>Salm</w:t>
      </w:r>
      <w:r w:rsidR="00775EDC">
        <w:rPr>
          <w:u w:val="single"/>
        </w:rPr>
        <w:t>onella</w:t>
      </w:r>
      <w:r>
        <w:t xml:space="preserve"> w produktach wołowych gotowych do spożycia oraz 7 log</w:t>
      </w:r>
      <w:r>
        <w:rPr>
          <w:vertAlign w:val="subscript"/>
        </w:rPr>
        <w:t>10</w:t>
      </w:r>
      <w:r>
        <w:t xml:space="preserve"> w gotowych do spożycia produktach drobiowych. Zakłady mogą także chcieć opracować i wprowadzić procesy stosujące alternatywne obróbki</w:t>
      </w:r>
      <w:r w:rsidR="00775EDC">
        <w:t xml:space="preserve"> niszczące drobnoustroje</w:t>
      </w:r>
      <w:r>
        <w:t>. Jednakże należy pamiętać, że wszystkie proces</w:t>
      </w:r>
      <w:r w:rsidR="00775EDC">
        <w:t>y</w:t>
      </w:r>
      <w:r>
        <w:t xml:space="preserve"> muszą osiągać, we wszystkich produktach, odpowiednie obniżenie innych przedmiotowych patogenów oraz ich toksyn i toksycznych metabolitów.</w:t>
      </w:r>
    </w:p>
    <w:p w:rsidR="0057264F" w:rsidRDefault="0057264F" w:rsidP="009610B6">
      <w:pPr>
        <w:pStyle w:val="Tekstpodstawowy"/>
        <w:spacing w:before="4"/>
        <w:jc w:val="both"/>
      </w:pPr>
    </w:p>
    <w:p w:rsidR="0057264F" w:rsidRDefault="007352B9" w:rsidP="009610B6">
      <w:pPr>
        <w:pStyle w:val="Tekstpodstawowy"/>
        <w:spacing w:before="1"/>
        <w:ind w:left="100" w:right="169"/>
        <w:jc w:val="both"/>
      </w:pPr>
      <w:r>
        <w:t xml:space="preserve">Zakłady lub ich organy </w:t>
      </w:r>
      <w:r w:rsidR="00775EDC">
        <w:t xml:space="preserve">ds. przetwarzania </w:t>
      </w:r>
      <w:r>
        <w:t>mogą opracować indywidualne procedury lub alternatywne obróbki</w:t>
      </w:r>
      <w:r w:rsidR="00775EDC">
        <w:t xml:space="preserve"> niszczące drobnoustroje</w:t>
      </w:r>
      <w:r>
        <w:t>, które spełniają standardy wydajności, poprzez zastosowanie informacji uzyskanych z literatury i/lub poprzez porównanie własnych metod z ustanowionymi procedurami. Jednakże, wyliczenia statystyczne dotyczące wyników pozyskanych wyłącznie z pobierania próbek nie są wystarczające do zademons</w:t>
      </w:r>
      <w:r w:rsidR="00775EDC">
        <w:t>trowania, że produkt zaspokaja obniżone</w:t>
      </w:r>
      <w:r>
        <w:t xml:space="preserve"> wstępne warunki produktu lub, że produkt spełnia standardy wydajności. Wręcz przeciwnie, demonstracja powinna być oparta na naukowym uzasadnieniu wspartym danymi z doświadczeń.</w:t>
      </w:r>
    </w:p>
    <w:p w:rsidR="0057264F" w:rsidRDefault="0057264F" w:rsidP="009610B6">
      <w:pPr>
        <w:pStyle w:val="Tekstpodstawowy"/>
        <w:spacing w:before="2"/>
        <w:jc w:val="both"/>
      </w:pPr>
    </w:p>
    <w:p w:rsidR="0057264F" w:rsidRDefault="007352B9" w:rsidP="009610B6">
      <w:pPr>
        <w:pStyle w:val="Tekstpodstawowy"/>
        <w:ind w:left="100" w:right="169"/>
        <w:jc w:val="both"/>
      </w:pPr>
      <w:r>
        <w:t xml:space="preserve">Jednym z najbardziej definitywnych narzędzi będących do dyspozycji zakładu lub organu </w:t>
      </w:r>
      <w:r w:rsidR="00775EDC">
        <w:t xml:space="preserve">ds. przetwarzania </w:t>
      </w:r>
      <w:r>
        <w:t>jest badanie sprawdzające. Chociaż badania sprawdzające powinny być prowadzone w laboratorium a nie w zakładzie, powinny być zaprojektowane i przeprowadzone tak aby odpowiednio symulować proces komercyjny. Badania sprawdzające takie powinny być prowadzone przez osoby, które posiadają dogłębna wiedzę o metodach laboratoryjnych stosowanych w badania</w:t>
      </w:r>
      <w:r w:rsidR="00775EDC">
        <w:t xml:space="preserve">ch nad Salmonellą. W badaniu </w:t>
      </w:r>
      <w:r>
        <w:t xml:space="preserve">szczepionych </w:t>
      </w:r>
      <w:r w:rsidR="00775EDC">
        <w:t xml:space="preserve">opakowań </w:t>
      </w:r>
      <w:r>
        <w:t xml:space="preserve">należy stosować mieszankę różnych serotypów </w:t>
      </w:r>
      <w:r w:rsidR="00775EDC">
        <w:rPr>
          <w:u w:val="single"/>
        </w:rPr>
        <w:t>Salmonella</w:t>
      </w:r>
      <w:r>
        <w:t>, aby zademonstrować, że spełniony został standard wydajności obróbki</w:t>
      </w:r>
      <w:r w:rsidR="00775EDC">
        <w:t xml:space="preserve"> niszczącej drobnoustroje</w:t>
      </w:r>
      <w:r>
        <w:t>. W tej mieszance powinny znaleźć się szczepy patogenu względnie odporne na wysoką temperaturę</w:t>
      </w:r>
      <w:r w:rsidR="00775EDC">
        <w:t>,</w:t>
      </w:r>
      <w:r>
        <w:t xml:space="preserve"> aby rozwinąć najgorszy możliwy przypadek. Wybrane </w:t>
      </w:r>
      <w:proofErr w:type="spellStart"/>
      <w:r>
        <w:t>serotypy</w:t>
      </w:r>
      <w:proofErr w:type="spellEnd"/>
      <w:r>
        <w:t>/szczepy powinny być wśród tych odpowiedzialnych w przeszłości za znaczną liczbę ognisk.</w:t>
      </w:r>
    </w:p>
    <w:sectPr w:rsidR="0057264F">
      <w:pgSz w:w="12240" w:h="15840"/>
      <w:pgMar w:top="1080" w:right="134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E2" w:rsidRDefault="00FD12E2" w:rsidP="009976EF">
      <w:r>
        <w:separator/>
      </w:r>
    </w:p>
  </w:endnote>
  <w:endnote w:type="continuationSeparator" w:id="0">
    <w:p w:rsidR="00FD12E2" w:rsidRDefault="00FD12E2" w:rsidP="0099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0212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976EF" w:rsidRDefault="009976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0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10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76EF" w:rsidRDefault="00997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E2" w:rsidRDefault="00FD12E2" w:rsidP="009976EF">
      <w:r>
        <w:separator/>
      </w:r>
    </w:p>
  </w:footnote>
  <w:footnote w:type="continuationSeparator" w:id="0">
    <w:p w:rsidR="00FD12E2" w:rsidRDefault="00FD12E2" w:rsidP="0099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7134"/>
    <w:multiLevelType w:val="hybridMultilevel"/>
    <w:tmpl w:val="35E60AB2"/>
    <w:lvl w:ilvl="0" w:tplc="CEB0AD7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B62C6340">
      <w:numFmt w:val="bullet"/>
      <w:lvlText w:val="•"/>
      <w:lvlJc w:val="left"/>
      <w:pPr>
        <w:ind w:left="1040" w:hanging="240"/>
      </w:pPr>
      <w:rPr>
        <w:rFonts w:hint="default"/>
      </w:rPr>
    </w:lvl>
    <w:lvl w:ilvl="2" w:tplc="2BF49994">
      <w:numFmt w:val="bullet"/>
      <w:lvlText w:val="•"/>
      <w:lvlJc w:val="left"/>
      <w:pPr>
        <w:ind w:left="1980" w:hanging="240"/>
      </w:pPr>
      <w:rPr>
        <w:rFonts w:hint="default"/>
      </w:rPr>
    </w:lvl>
    <w:lvl w:ilvl="3" w:tplc="2A926D88">
      <w:numFmt w:val="bullet"/>
      <w:lvlText w:val="•"/>
      <w:lvlJc w:val="left"/>
      <w:pPr>
        <w:ind w:left="2920" w:hanging="240"/>
      </w:pPr>
      <w:rPr>
        <w:rFonts w:hint="default"/>
      </w:rPr>
    </w:lvl>
    <w:lvl w:ilvl="4" w:tplc="69CE84D2">
      <w:numFmt w:val="bullet"/>
      <w:lvlText w:val="•"/>
      <w:lvlJc w:val="left"/>
      <w:pPr>
        <w:ind w:left="3860" w:hanging="240"/>
      </w:pPr>
      <w:rPr>
        <w:rFonts w:hint="default"/>
      </w:rPr>
    </w:lvl>
    <w:lvl w:ilvl="5" w:tplc="D0B2CB72">
      <w:numFmt w:val="bullet"/>
      <w:lvlText w:val="•"/>
      <w:lvlJc w:val="left"/>
      <w:pPr>
        <w:ind w:left="4800" w:hanging="240"/>
      </w:pPr>
      <w:rPr>
        <w:rFonts w:hint="default"/>
      </w:rPr>
    </w:lvl>
    <w:lvl w:ilvl="6" w:tplc="7F045016">
      <w:numFmt w:val="bullet"/>
      <w:lvlText w:val="•"/>
      <w:lvlJc w:val="left"/>
      <w:pPr>
        <w:ind w:left="5740" w:hanging="240"/>
      </w:pPr>
      <w:rPr>
        <w:rFonts w:hint="default"/>
      </w:rPr>
    </w:lvl>
    <w:lvl w:ilvl="7" w:tplc="E5D4BB0C">
      <w:numFmt w:val="bullet"/>
      <w:lvlText w:val="•"/>
      <w:lvlJc w:val="left"/>
      <w:pPr>
        <w:ind w:left="6680" w:hanging="240"/>
      </w:pPr>
      <w:rPr>
        <w:rFonts w:hint="default"/>
      </w:rPr>
    </w:lvl>
    <w:lvl w:ilvl="8" w:tplc="68BA44EA">
      <w:numFmt w:val="bullet"/>
      <w:lvlText w:val="•"/>
      <w:lvlJc w:val="left"/>
      <w:pPr>
        <w:ind w:left="7620" w:hanging="240"/>
      </w:pPr>
      <w:rPr>
        <w:rFonts w:hint="default"/>
      </w:rPr>
    </w:lvl>
  </w:abstractNum>
  <w:abstractNum w:abstractNumId="1" w15:restartNumberingAfterBreak="0">
    <w:nsid w:val="46670DC1"/>
    <w:multiLevelType w:val="hybridMultilevel"/>
    <w:tmpl w:val="B6B838B4"/>
    <w:lvl w:ilvl="0" w:tplc="DF44DAC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BB0A6B4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E31E84EE"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208842FA"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CF4C31DA"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F2DC8808"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1E5CF140"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BBBA6A92"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FA32FB10">
      <w:numFmt w:val="bullet"/>
      <w:lvlText w:val="•"/>
      <w:lvlJc w:val="left"/>
      <w:pPr>
        <w:ind w:left="766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264F"/>
    <w:rsid w:val="000F4920"/>
    <w:rsid w:val="0037754F"/>
    <w:rsid w:val="003A2A6E"/>
    <w:rsid w:val="004A1AFB"/>
    <w:rsid w:val="0057264F"/>
    <w:rsid w:val="005D39CB"/>
    <w:rsid w:val="006710AF"/>
    <w:rsid w:val="00677462"/>
    <w:rsid w:val="007352B9"/>
    <w:rsid w:val="00775EDC"/>
    <w:rsid w:val="009610B6"/>
    <w:rsid w:val="009976EF"/>
    <w:rsid w:val="009B45A6"/>
    <w:rsid w:val="00AC7572"/>
    <w:rsid w:val="00B92BBA"/>
    <w:rsid w:val="00C017E9"/>
    <w:rsid w:val="00D34EDC"/>
    <w:rsid w:val="00F7764C"/>
    <w:rsid w:val="00FB5A70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8BE1-A552-42C2-A4CF-589FE7DB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86" w:right="186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spacing w:before="67"/>
      <w:ind w:left="10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0"/>
    </w:pPr>
  </w:style>
  <w:style w:type="paragraph" w:customStyle="1" w:styleId="TableParagraph">
    <w:name w:val="Table Paragraph"/>
    <w:basedOn w:val="Normalny"/>
    <w:uiPriority w:val="1"/>
    <w:qFormat/>
    <w:pPr>
      <w:spacing w:line="206" w:lineRule="exac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997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6E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97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6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serrc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1959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Holtrop</dc:creator>
  <cp:lastModifiedBy>ewa.piotrowska</cp:lastModifiedBy>
  <cp:revision>15</cp:revision>
  <dcterms:created xsi:type="dcterms:W3CDTF">2019-06-24T11:03:00Z</dcterms:created>
  <dcterms:modified xsi:type="dcterms:W3CDTF">2019-07-09T10:21:00Z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2019-06-24T00:00:00Z</vt:filetime>
  </property>
</Properties>
</file>