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3C9C" w14:textId="77777777" w:rsidR="00AC150E" w:rsidRDefault="00AC150E">
      <w:pPr>
        <w:pStyle w:val="Tekstpodstawowy"/>
        <w:spacing w:before="7"/>
        <w:rPr>
          <w:sz w:val="19"/>
        </w:rPr>
      </w:pPr>
    </w:p>
    <w:p w14:paraId="6015ED72" w14:textId="77777777" w:rsidR="00AC150E" w:rsidRDefault="00197ECD">
      <w:pPr>
        <w:pStyle w:val="Tekstpodstawowy"/>
        <w:tabs>
          <w:tab w:val="left" w:pos="6855"/>
        </w:tabs>
        <w:spacing w:before="92"/>
        <w:ind w:right="80"/>
        <w:jc w:val="center"/>
      </w:pPr>
      <w:r>
        <w:t>Nr 877</w:t>
      </w:r>
      <w:r>
        <w:tab/>
        <w:t>19 września 2019 r.</w:t>
      </w:r>
    </w:p>
    <w:p w14:paraId="44431C85" w14:textId="77777777" w:rsidR="00AC150E" w:rsidRDefault="00AC150E">
      <w:pPr>
        <w:pStyle w:val="Tekstpodstawowy"/>
        <w:rPr>
          <w:sz w:val="22"/>
        </w:rPr>
      </w:pPr>
    </w:p>
    <w:p w14:paraId="5DAA0443" w14:textId="77777777" w:rsidR="00AC150E" w:rsidRDefault="00AC150E">
      <w:pPr>
        <w:pStyle w:val="Tekstpodstawowy"/>
        <w:rPr>
          <w:sz w:val="27"/>
        </w:rPr>
      </w:pPr>
    </w:p>
    <w:p w14:paraId="5E727866" w14:textId="77777777" w:rsidR="00AC150E" w:rsidRDefault="00197ECD">
      <w:pPr>
        <w:ind w:right="93"/>
        <w:jc w:val="center"/>
        <w:rPr>
          <w:sz w:val="32"/>
        </w:rPr>
      </w:pPr>
      <w:r>
        <w:rPr>
          <w:sz w:val="32"/>
        </w:rPr>
        <w:t>ROZPORZĄDZENIE</w:t>
      </w:r>
    </w:p>
    <w:p w14:paraId="6881B6C5" w14:textId="52D03C48" w:rsidR="00AC150E" w:rsidRDefault="00197ECD" w:rsidP="00197ECD">
      <w:pPr>
        <w:pStyle w:val="Nagwek1"/>
        <w:spacing w:before="61"/>
        <w:ind w:right="31"/>
      </w:pPr>
      <w:r>
        <w:t xml:space="preserve">w sprawie specjalnych gwarancji dotyczących salmonelli </w:t>
      </w:r>
      <w:r w:rsidR="00BC3F8E">
        <w:t>w odniesieniu do</w:t>
      </w:r>
      <w:r>
        <w:t xml:space="preserve"> przesył</w:t>
      </w:r>
      <w:r w:rsidR="00BC3F8E">
        <w:t>ek</w:t>
      </w:r>
      <w:r>
        <w:t xml:space="preserve"> mięsa i jaj ptactwa domowego (</w:t>
      </w:r>
      <w:r>
        <w:rPr>
          <w:i/>
          <w:iCs/>
        </w:rPr>
        <w:t>Gallus gallus</w:t>
      </w:r>
      <w:r>
        <w:t>) oraz mięsa pochodzącego z indyków</w:t>
      </w:r>
    </w:p>
    <w:p w14:paraId="534D9BFA" w14:textId="77777777" w:rsidR="00AC150E" w:rsidRDefault="00AC150E">
      <w:pPr>
        <w:pStyle w:val="Tekstpodstawowy"/>
        <w:rPr>
          <w:b/>
          <w:sz w:val="22"/>
        </w:rPr>
      </w:pPr>
    </w:p>
    <w:p w14:paraId="63659BB0" w14:textId="77777777" w:rsidR="00AC150E" w:rsidRDefault="00AC150E">
      <w:pPr>
        <w:pStyle w:val="Tekstpodstawowy"/>
        <w:spacing w:before="11"/>
        <w:rPr>
          <w:b/>
          <w:sz w:val="19"/>
        </w:rPr>
      </w:pPr>
    </w:p>
    <w:p w14:paraId="4C128EEC" w14:textId="77777777" w:rsidR="00AC150E" w:rsidRDefault="00197ECD">
      <w:pPr>
        <w:pStyle w:val="Tekstpodstawowy"/>
        <w:ind w:left="4139"/>
        <w:jc w:val="both"/>
      </w:pPr>
      <w:r>
        <w:t>Artykuł 1</w:t>
      </w:r>
    </w:p>
    <w:p w14:paraId="7F01C15B" w14:textId="25C4FB1A" w:rsidR="00AC150E" w:rsidRDefault="00197ECD">
      <w:pPr>
        <w:pStyle w:val="Tekstpodstawowy"/>
        <w:spacing w:before="1"/>
        <w:ind w:left="104" w:right="186" w:firstLine="395"/>
        <w:jc w:val="both"/>
      </w:pPr>
      <w:r>
        <w:t>Celem niniejszego rozporządzenia jest ustanowienie specjalnych gwarancji (zgodnie z art. 8 ust. 2 rozporządzenia (WE) nr 853/2004 wdrożonego rozporządzeniem nr 104/2010) dotyczących salmonelli przy przesyłkach mięsa i jaj ptactwa domowego (</w:t>
      </w:r>
      <w:r w:rsidRPr="001B2C5D">
        <w:rPr>
          <w:i/>
          <w:iCs/>
        </w:rPr>
        <w:t>Gallus gallus</w:t>
      </w:r>
      <w:r>
        <w:t>) oraz mięsa uzyskanego z</w:t>
      </w:r>
      <w:r w:rsidR="00D44CBA">
        <w:t> </w:t>
      </w:r>
      <w:r>
        <w:t>indyków przeznaczonych dla Islandii.</w:t>
      </w:r>
    </w:p>
    <w:p w14:paraId="0163C729" w14:textId="77777777" w:rsidR="00AC150E" w:rsidRDefault="00AC150E">
      <w:pPr>
        <w:pStyle w:val="Tekstpodstawowy"/>
        <w:spacing w:before="9"/>
        <w:rPr>
          <w:sz w:val="20"/>
        </w:rPr>
      </w:pPr>
    </w:p>
    <w:p w14:paraId="6BDC1030" w14:textId="77777777" w:rsidR="00AC150E" w:rsidRDefault="00197ECD">
      <w:pPr>
        <w:pStyle w:val="Tekstpodstawowy"/>
        <w:spacing w:before="1"/>
        <w:ind w:left="4139"/>
      </w:pPr>
      <w:r>
        <w:t>Artykuł 2</w:t>
      </w:r>
    </w:p>
    <w:p w14:paraId="7465E64A" w14:textId="77777777" w:rsidR="00AC150E" w:rsidRDefault="00197ECD">
      <w:pPr>
        <w:pStyle w:val="Tekstpodstawowy"/>
        <w:spacing w:before="1"/>
        <w:ind w:left="104" w:right="363" w:firstLine="395"/>
      </w:pPr>
      <w:r>
        <w:t>Pobieranie próbek mięsa, o którym mowa w art. 1, oraz badanie mikrobiologiczne tych próbek przeprowadza się zgodnie z art. 3 i 5 rozporządzenia (WE) nr 1688/2005.</w:t>
      </w:r>
    </w:p>
    <w:p w14:paraId="04409CFF" w14:textId="77777777" w:rsidR="00AC150E" w:rsidRDefault="00197ECD" w:rsidP="00197ECD">
      <w:pPr>
        <w:pStyle w:val="Tekstpodstawowy"/>
        <w:spacing w:before="1"/>
        <w:ind w:left="104" w:right="173" w:firstLine="395"/>
        <w:jc w:val="both"/>
      </w:pPr>
      <w:r>
        <w:t>Pobieranie próbek z grupy pochodzenia jaj, o których mowa w art. 1, oraz badanie mikrobiologiczne tych próbek przeprowadza się zgodnie z art. 4 i 5 rozporządzenia (WE) nr</w:t>
      </w:r>
    </w:p>
    <w:p w14:paraId="3DD39CB5" w14:textId="77777777" w:rsidR="00AC150E" w:rsidRDefault="00197ECD">
      <w:pPr>
        <w:pStyle w:val="Tekstpodstawowy"/>
        <w:spacing w:line="241" w:lineRule="exact"/>
        <w:ind w:left="104"/>
      </w:pPr>
      <w:r>
        <w:t>1688/2005.</w:t>
      </w:r>
    </w:p>
    <w:p w14:paraId="7A2F9CD3" w14:textId="77777777" w:rsidR="00AC150E" w:rsidRDefault="00197ECD">
      <w:pPr>
        <w:pStyle w:val="Tekstpodstawowy"/>
        <w:spacing w:before="1"/>
        <w:ind w:left="104" w:right="341" w:firstLine="395"/>
      </w:pPr>
      <w:r>
        <w:t>Przesyłkom mięsa, o których mowa w art. 1, muszą towarzyszyć dokumenty handlowe zgodne ze wzorem określonym w załączniku IV do rozporządzenia (WE) nr 1688/2005.</w:t>
      </w:r>
    </w:p>
    <w:p w14:paraId="0FA03906" w14:textId="77777777" w:rsidR="00AC150E" w:rsidRDefault="00197ECD" w:rsidP="00197ECD">
      <w:pPr>
        <w:pStyle w:val="Tekstpodstawowy"/>
        <w:ind w:left="104" w:right="265" w:firstLine="395"/>
        <w:jc w:val="both"/>
      </w:pPr>
      <w:r>
        <w:t>Przesyłkom jaj, o których mowa w art. 1, towarzyszą świadectwa zgodne ze wzorem określonym w załączniku V do rozporządzenia (WE) nr 1688/2005.</w:t>
      </w:r>
    </w:p>
    <w:p w14:paraId="10B86417" w14:textId="77777777" w:rsidR="00AC150E" w:rsidRDefault="00AC150E">
      <w:pPr>
        <w:pStyle w:val="Tekstpodstawowy"/>
        <w:spacing w:before="7"/>
        <w:rPr>
          <w:sz w:val="20"/>
        </w:rPr>
      </w:pPr>
    </w:p>
    <w:p w14:paraId="0CE46FB8" w14:textId="77777777" w:rsidR="00AC150E" w:rsidRDefault="00197ECD">
      <w:pPr>
        <w:pStyle w:val="Tekstpodstawowy"/>
        <w:ind w:left="4137"/>
        <w:jc w:val="both"/>
      </w:pPr>
      <w:r>
        <w:t>Artykuł 3</w:t>
      </w:r>
    </w:p>
    <w:p w14:paraId="329EA383" w14:textId="77777777" w:rsidR="00AC150E" w:rsidRDefault="00197ECD">
      <w:pPr>
        <w:pStyle w:val="Tekstpodstawowy"/>
        <w:spacing w:before="3"/>
        <w:ind w:left="104" w:right="183" w:firstLine="395"/>
        <w:jc w:val="both"/>
      </w:pPr>
      <w:r>
        <w:t>Islandzki Urząd ds. Żywności i Weterynarii oraz lokalne organy ds. zdrowia publicznego pod nadzorem tego Urzędu są odpowiedzialne za monitorowanie wdrażania przepisów niniejszego rozporządzenia zgodnie z art. 6 i 22 ustawy nr 93/1995 o środkach spożywczych, z późniejszymi zmianami.</w:t>
      </w:r>
    </w:p>
    <w:p w14:paraId="0AF39EE0" w14:textId="77777777" w:rsidR="00AC150E" w:rsidRDefault="00AC150E">
      <w:pPr>
        <w:pStyle w:val="Tekstpodstawowy"/>
        <w:spacing w:before="9"/>
        <w:rPr>
          <w:sz w:val="20"/>
        </w:rPr>
      </w:pPr>
    </w:p>
    <w:p w14:paraId="3F22B963" w14:textId="77777777" w:rsidR="00AC150E" w:rsidRDefault="00197ECD">
      <w:pPr>
        <w:pStyle w:val="Tekstpodstawowy"/>
        <w:spacing w:line="241" w:lineRule="exact"/>
        <w:ind w:left="4137"/>
      </w:pPr>
      <w:r>
        <w:t>Artykuł 4</w:t>
      </w:r>
    </w:p>
    <w:p w14:paraId="322EE5C7" w14:textId="77777777" w:rsidR="00AC150E" w:rsidRDefault="00197ECD" w:rsidP="00197ECD">
      <w:pPr>
        <w:pStyle w:val="Tekstpodstawowy"/>
        <w:ind w:left="142" w:right="169" w:firstLine="358"/>
        <w:jc w:val="both"/>
      </w:pPr>
      <w:r>
        <w:t>Naruszenia niniejszego rozporządzenia podlegają art. 30, 30a-30e i 31 ustawy nr 93/1995 o środkach spożywczych.</w:t>
      </w:r>
    </w:p>
    <w:p w14:paraId="4C31E2D3" w14:textId="77777777" w:rsidR="00AC150E" w:rsidRDefault="00AC150E">
      <w:pPr>
        <w:pStyle w:val="Tekstpodstawowy"/>
        <w:rPr>
          <w:sz w:val="22"/>
        </w:rPr>
      </w:pPr>
    </w:p>
    <w:p w14:paraId="30D7A932" w14:textId="77777777" w:rsidR="00AC150E" w:rsidRDefault="00197ECD">
      <w:pPr>
        <w:pStyle w:val="Tekstpodstawowy"/>
        <w:ind w:left="4137"/>
        <w:jc w:val="both"/>
      </w:pPr>
      <w:r>
        <w:t>Artykuł 5</w:t>
      </w:r>
    </w:p>
    <w:p w14:paraId="5C82B642" w14:textId="77777777" w:rsidR="00AC150E" w:rsidRDefault="00197ECD">
      <w:pPr>
        <w:pStyle w:val="Tekstpodstawowy"/>
        <w:spacing w:before="1"/>
        <w:ind w:left="104" w:right="185" w:firstLine="395"/>
        <w:jc w:val="both"/>
      </w:pPr>
      <w:r>
        <w:t>Niniejsze rozporządzenie przyjmuje się na podstawie upoważnienia zawartego w art. 31a ustawy nr 93/1995 o środkach spożywczych oraz zgodnie z decyzją Urzędu Nadzoru EFTA nr 001/19/COL z dnia 16 stycznia 2019 r., rozszerzającą specjalne gwarancje dla Islandii, por. przepisy dotyczące specjalnych gwarancji dla salmonelli w rozporządzeniu (WE) nr 853/2004 Parlamentu Europejskiego i Rady z dnia 29 kwietnia 2004 r. ustanawiającym szczególne przepisy dotyczące higieny w odniesieniu do żywności pochodzenia zwierzęcego, które zostało włączone do Porozumienia EOG decyzją nr 137/2007 Wspólnego Komitetu EOG. Niniejsze rozporządzenie wchodzi w życie z dniem 1 stycznia 2020 r.</w:t>
      </w:r>
    </w:p>
    <w:p w14:paraId="1D96ECAD" w14:textId="77777777" w:rsidR="00AC150E" w:rsidRDefault="00AC150E">
      <w:pPr>
        <w:pStyle w:val="Tekstpodstawowy"/>
        <w:spacing w:before="1"/>
      </w:pPr>
    </w:p>
    <w:p w14:paraId="42027580" w14:textId="77777777" w:rsidR="00AC150E" w:rsidRDefault="00197ECD">
      <w:pPr>
        <w:ind w:right="84"/>
        <w:jc w:val="center"/>
        <w:rPr>
          <w:i/>
          <w:sz w:val="21"/>
        </w:rPr>
      </w:pPr>
      <w:r>
        <w:rPr>
          <w:i/>
          <w:sz w:val="21"/>
        </w:rPr>
        <w:t>Ministerstwo Przemysłu i Innowacji, 19 września 2019 r.</w:t>
      </w:r>
    </w:p>
    <w:p w14:paraId="7362825E" w14:textId="77777777" w:rsidR="00AC150E" w:rsidRDefault="00AC150E">
      <w:pPr>
        <w:pStyle w:val="Tekstpodstawowy"/>
        <w:spacing w:before="11"/>
        <w:rPr>
          <w:i/>
          <w:sz w:val="20"/>
        </w:rPr>
      </w:pPr>
    </w:p>
    <w:p w14:paraId="25304C4E" w14:textId="77777777" w:rsidR="00AC150E" w:rsidRDefault="00197ECD">
      <w:pPr>
        <w:pStyle w:val="Nagwek1"/>
        <w:ind w:firstLine="0"/>
      </w:pPr>
      <w:r>
        <w:t>Kristján Þór Júlíusson</w:t>
      </w:r>
    </w:p>
    <w:p w14:paraId="48EC256D" w14:textId="77777777" w:rsidR="00AC150E" w:rsidRDefault="00197ECD">
      <w:pPr>
        <w:pStyle w:val="Tekstpodstawowy"/>
        <w:tabs>
          <w:tab w:val="left" w:pos="3701"/>
          <w:tab w:val="left" w:pos="5942"/>
        </w:tabs>
        <w:spacing w:before="1"/>
        <w:ind w:right="115"/>
        <w:jc w:val="right"/>
      </w:pPr>
      <w:r>
        <w:t>Minister Rybołówstwa i Rolnictwa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49F51" w14:textId="77777777" w:rsidR="00AC150E" w:rsidRDefault="00197ECD">
      <w:pPr>
        <w:spacing w:before="30"/>
        <w:ind w:right="186"/>
        <w:jc w:val="right"/>
        <w:rPr>
          <w:i/>
          <w:sz w:val="21"/>
        </w:rPr>
      </w:pPr>
      <w:r>
        <w:rPr>
          <w:i/>
          <w:sz w:val="21"/>
        </w:rPr>
        <w:t>Kristján Skarphéðinsson.</w:t>
      </w:r>
    </w:p>
    <w:p w14:paraId="7D409C4C" w14:textId="77777777" w:rsidR="00AC150E" w:rsidRDefault="00000000">
      <w:pPr>
        <w:pStyle w:val="Tekstpodstawowy"/>
        <w:spacing w:before="8"/>
        <w:rPr>
          <w:i/>
          <w:sz w:val="23"/>
        </w:rPr>
      </w:pPr>
      <w:r>
        <w:pict w14:anchorId="57A17B57">
          <v:shape id="_x0000_s1026" style="position:absolute;margin-left:268.55pt;margin-top:15.8pt;width:52.7pt;height:.1pt;z-index:-251658752;mso-wrap-distance-left:0;mso-wrap-distance-right:0;mso-position-horizontal-relative:page" coordorigin="5371,316" coordsize="1054,0" path="m5371,316r1054,e" filled="f" strokeweight=".149mm">
            <v:path arrowok="t"/>
            <w10:wrap type="topAndBottom" anchorx="page"/>
          </v:shape>
        </w:pict>
      </w:r>
    </w:p>
    <w:p w14:paraId="32B90074" w14:textId="77777777" w:rsidR="00AC150E" w:rsidRDefault="00AC150E">
      <w:pPr>
        <w:pStyle w:val="Tekstpodstawowy"/>
        <w:spacing w:before="6"/>
        <w:rPr>
          <w:i/>
          <w:sz w:val="22"/>
        </w:rPr>
      </w:pPr>
    </w:p>
    <w:p w14:paraId="7E532AE4" w14:textId="77777777" w:rsidR="00AC150E" w:rsidRDefault="00197ECD">
      <w:pPr>
        <w:pStyle w:val="Tekstpodstawowy"/>
        <w:spacing w:before="1"/>
        <w:ind w:right="86"/>
        <w:jc w:val="center"/>
      </w:pPr>
      <w:r>
        <w:t>Sekcja B – Data wydania: 9 października 2019 r.</w:t>
      </w:r>
    </w:p>
    <w:sectPr w:rsidR="00AC150E">
      <w:type w:val="continuous"/>
      <w:pgSz w:w="11920" w:h="16860"/>
      <w:pgMar w:top="160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50E"/>
    <w:rsid w:val="00197ECD"/>
    <w:rsid w:val="001B2C5D"/>
    <w:rsid w:val="004C4E97"/>
    <w:rsid w:val="00AC150E"/>
    <w:rsid w:val="00BC3F8E"/>
    <w:rsid w:val="00D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8D104"/>
  <w15:docId w15:val="{9A50DFCE-704A-4A55-ADF5-05C7421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ind w:right="81" w:hanging="1"/>
      <w:jc w:val="center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joanna.chil</cp:lastModifiedBy>
  <cp:revision>4</cp:revision>
  <dcterms:created xsi:type="dcterms:W3CDTF">2022-10-06T09:26:00Z</dcterms:created>
  <dcterms:modified xsi:type="dcterms:W3CDTF">2022-10-06T10:01:00Z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2022-10-05T00:00:00Z</vt:filetime>
  </property>
</Properties>
</file>